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DCBC" w14:textId="0F916CA2" w:rsidR="005C2DDE" w:rsidRPr="00C47603" w:rsidRDefault="005C2DDE" w:rsidP="005C2DDE">
      <w:pPr>
        <w:jc w:val="center"/>
        <w:rPr>
          <w:b/>
          <w:bCs/>
          <w:u w:val="single"/>
        </w:rPr>
      </w:pPr>
      <w:r w:rsidRPr="00C47603">
        <w:rPr>
          <w:b/>
          <w:bCs/>
          <w:u w:val="single"/>
        </w:rPr>
        <w:t xml:space="preserve">PV GT politique SAEMD du </w:t>
      </w:r>
      <w:r w:rsidR="003B4B82" w:rsidRPr="00C47603">
        <w:rPr>
          <w:b/>
          <w:bCs/>
          <w:u w:val="single"/>
        </w:rPr>
        <w:t>29/09/2025</w:t>
      </w:r>
    </w:p>
    <w:p w14:paraId="08DA1D9C" w14:textId="3257DD75" w:rsidR="0000405B" w:rsidRDefault="005C2DDE" w:rsidP="00CF1EFA">
      <w:pPr>
        <w:jc w:val="both"/>
      </w:pPr>
      <w:r w:rsidRPr="005C2DDE">
        <w:cr/>
      </w:r>
      <w:r w:rsidR="0000405B">
        <w:rPr>
          <w:u w:val="single"/>
        </w:rPr>
        <w:t>Représentants des fédérations</w:t>
      </w:r>
      <w:r w:rsidR="00CF1EFA">
        <w:t> : Isabelle</w:t>
      </w:r>
      <w:r w:rsidR="00C748DC">
        <w:t xml:space="preserve"> Bellet</w:t>
      </w:r>
      <w:r w:rsidR="00CF1EFA">
        <w:t xml:space="preserve">, </w:t>
      </w:r>
      <w:r w:rsidR="005D28F1">
        <w:t xml:space="preserve">Rhéa Hajar et </w:t>
      </w:r>
      <w:r w:rsidR="00CF1EFA">
        <w:t>Maëlle</w:t>
      </w:r>
      <w:r w:rsidR="00C748DC">
        <w:t xml:space="preserve"> </w:t>
      </w:r>
      <w:proofErr w:type="spellStart"/>
      <w:r w:rsidR="00F150E4">
        <w:t>Letertre</w:t>
      </w:r>
      <w:proofErr w:type="spellEnd"/>
      <w:r w:rsidR="00CF1EFA">
        <w:t xml:space="preserve"> (UNESSA), </w:t>
      </w:r>
      <w:r w:rsidR="005D28F1">
        <w:t xml:space="preserve">Kathia Morano, </w:t>
      </w:r>
      <w:r w:rsidR="00CF1EFA">
        <w:t>Saliha</w:t>
      </w:r>
      <w:r w:rsidR="0092469E">
        <w:t xml:space="preserve"> Manah</w:t>
      </w:r>
      <w:r w:rsidR="005D28F1">
        <w:t xml:space="preserve"> </w:t>
      </w:r>
      <w:r w:rsidR="00CF1EFA">
        <w:t>et</w:t>
      </w:r>
      <w:r w:rsidR="0092469E">
        <w:t xml:space="preserve"> Odile Lejoly</w:t>
      </w:r>
      <w:r w:rsidR="00CF1EFA">
        <w:t xml:space="preserve"> (FSMI), </w:t>
      </w:r>
      <w:r w:rsidR="005D28F1">
        <w:t xml:space="preserve">Rose Marie Arredondas, </w:t>
      </w:r>
      <w:r w:rsidR="00CF1EFA">
        <w:t>Anne-Catherine</w:t>
      </w:r>
      <w:r w:rsidR="00C65797">
        <w:t xml:space="preserve"> Doyen</w:t>
      </w:r>
      <w:r w:rsidR="00CF1EFA">
        <w:t xml:space="preserve"> et Louann</w:t>
      </w:r>
      <w:r w:rsidR="00657D77">
        <w:t xml:space="preserve"> Clesse</w:t>
      </w:r>
      <w:r w:rsidR="00CF1EFA">
        <w:t xml:space="preserve"> (CODEF), </w:t>
      </w:r>
      <w:r w:rsidR="005D28F1">
        <w:t xml:space="preserve">Cécile Van Honsté et </w:t>
      </w:r>
      <w:r w:rsidR="00CF1EFA">
        <w:t xml:space="preserve">Isaline </w:t>
      </w:r>
      <w:proofErr w:type="spellStart"/>
      <w:r w:rsidR="00CF1EFA">
        <w:t>Depla</w:t>
      </w:r>
      <w:r w:rsidR="0063730A">
        <w:t>en</w:t>
      </w:r>
      <w:proofErr w:type="spellEnd"/>
      <w:r w:rsidR="00CF1EFA">
        <w:t xml:space="preserve"> (FILE)</w:t>
      </w:r>
      <w:r w:rsidR="0000405B">
        <w:t>.</w:t>
      </w:r>
    </w:p>
    <w:p w14:paraId="3FF8CE90" w14:textId="401C83EB" w:rsidR="00CF1EFA" w:rsidRDefault="0000405B" w:rsidP="00CF1EFA">
      <w:pPr>
        <w:jc w:val="both"/>
      </w:pPr>
      <w:r>
        <w:rPr>
          <w:u w:val="single"/>
        </w:rPr>
        <w:t>Invités</w:t>
      </w:r>
      <w:r>
        <w:t xml:space="preserve"> :</w:t>
      </w:r>
      <w:r w:rsidR="00CF1EFA">
        <w:t xml:space="preserve"> Michaël</w:t>
      </w:r>
      <w:r w:rsidR="00287569">
        <w:t xml:space="preserve"> </w:t>
      </w:r>
      <w:proofErr w:type="spellStart"/>
      <w:r w:rsidR="009A7355">
        <w:t>Van</w:t>
      </w:r>
      <w:r w:rsidR="00223D69">
        <w:t>vla</w:t>
      </w:r>
      <w:r w:rsidR="00361BB5">
        <w:t>sselaer</w:t>
      </w:r>
      <w:proofErr w:type="spellEnd"/>
      <w:r w:rsidR="00CF1EFA">
        <w:t xml:space="preserve">, </w:t>
      </w:r>
      <w:r w:rsidR="005D28F1">
        <w:t xml:space="preserve">Eddy Gilson, </w:t>
      </w:r>
      <w:r w:rsidR="00CF1EFA">
        <w:t>Laëtitia</w:t>
      </w:r>
      <w:r w:rsidR="00BD2A3C">
        <w:t xml:space="preserve"> Becker</w:t>
      </w:r>
      <w:r w:rsidR="005D28F1">
        <w:t xml:space="preserve"> et </w:t>
      </w:r>
      <w:r w:rsidR="00CF1EFA">
        <w:t xml:space="preserve">Julie </w:t>
      </w:r>
      <w:r w:rsidR="0065683C">
        <w:t>Colette</w:t>
      </w:r>
      <w:r w:rsidR="00CF1EFA">
        <w:t xml:space="preserve"> (ONE), Céline</w:t>
      </w:r>
      <w:r w:rsidR="00BD2A3C">
        <w:t xml:space="preserve"> </w:t>
      </w:r>
      <w:proofErr w:type="spellStart"/>
      <w:r w:rsidR="00BD2A3C">
        <w:t>Cocq</w:t>
      </w:r>
      <w:proofErr w:type="spellEnd"/>
      <w:r w:rsidR="00CF1EFA">
        <w:t xml:space="preserve"> (Ligue des Familles)</w:t>
      </w:r>
      <w:r w:rsidR="00052E33">
        <w:t>.</w:t>
      </w:r>
    </w:p>
    <w:p w14:paraId="5DD2008F" w14:textId="6CD5F1F6" w:rsidR="00A02109" w:rsidRDefault="009322F6" w:rsidP="00CF1EFA">
      <w:pPr>
        <w:jc w:val="both"/>
      </w:pPr>
      <w:r>
        <w:rPr>
          <w:u w:val="single"/>
        </w:rPr>
        <w:t>Excusé</w:t>
      </w:r>
      <w:r w:rsidR="00CF1EFA" w:rsidRPr="005872F3">
        <w:rPr>
          <w:u w:val="single"/>
        </w:rPr>
        <w:t>s</w:t>
      </w:r>
      <w:r w:rsidR="00CF1EFA">
        <w:t> : Alice</w:t>
      </w:r>
      <w:r w:rsidR="00FD717A">
        <w:t xml:space="preserve"> Flahaut</w:t>
      </w:r>
      <w:r w:rsidR="00CF1EFA">
        <w:t xml:space="preserve"> (FCSD) et Sylvie Lefèbvre (Cabinet)</w:t>
      </w:r>
      <w:r w:rsidR="0000405B">
        <w:t>.</w:t>
      </w:r>
    </w:p>
    <w:p w14:paraId="5AE61283" w14:textId="77777777" w:rsidR="0000405B" w:rsidRPr="0000405B" w:rsidRDefault="0000405B" w:rsidP="00CF1EFA">
      <w:pPr>
        <w:jc w:val="both"/>
      </w:pPr>
    </w:p>
    <w:p w14:paraId="6B98F5D2" w14:textId="25AD9CAE" w:rsidR="00A02109" w:rsidRDefault="00A02109" w:rsidP="00CF1EFA">
      <w:pPr>
        <w:jc w:val="both"/>
        <w:rPr>
          <w:i/>
          <w:iCs/>
        </w:rPr>
      </w:pPr>
      <w:r w:rsidRPr="00A02109">
        <w:rPr>
          <w:i/>
          <w:iCs/>
          <w:u w:val="single"/>
        </w:rPr>
        <w:t>Remarque préliminaire</w:t>
      </w:r>
      <w:r>
        <w:rPr>
          <w:i/>
          <w:iCs/>
        </w:rPr>
        <w:t xml:space="preserve"> : </w:t>
      </w:r>
      <w:r w:rsidRPr="00A02109">
        <w:rPr>
          <w:i/>
          <w:iCs/>
        </w:rPr>
        <w:t>Pour des raisons de clarté et de cohérence, ce procès-verbal restitue les échanges par thématique, et non dans l’ordre chronologique des discussions.</w:t>
      </w:r>
    </w:p>
    <w:p w14:paraId="73B36525" w14:textId="77777777" w:rsidR="0000405B" w:rsidRDefault="0000405B" w:rsidP="00CF1EFA">
      <w:pPr>
        <w:jc w:val="both"/>
        <w:rPr>
          <w:i/>
          <w:iCs/>
        </w:rPr>
      </w:pPr>
    </w:p>
    <w:p w14:paraId="30EACBBC" w14:textId="417CCB88" w:rsidR="00CF1EFA" w:rsidRPr="00654121" w:rsidRDefault="00CF1EFA" w:rsidP="00CF1EFA">
      <w:pPr>
        <w:jc w:val="both"/>
        <w:rPr>
          <w:b/>
          <w:bCs/>
        </w:rPr>
      </w:pPr>
      <w:r w:rsidRPr="00654121">
        <w:rPr>
          <w:b/>
          <w:bCs/>
        </w:rPr>
        <w:t xml:space="preserve">Ordre du </w:t>
      </w:r>
      <w:r w:rsidR="00654121" w:rsidRPr="00654121">
        <w:rPr>
          <w:b/>
          <w:bCs/>
        </w:rPr>
        <w:t>jour</w:t>
      </w:r>
      <w:r w:rsidRPr="00654121">
        <w:rPr>
          <w:b/>
          <w:bCs/>
        </w:rPr>
        <w:t> :</w:t>
      </w:r>
    </w:p>
    <w:p w14:paraId="3A96C330" w14:textId="575EE0CD" w:rsidR="00CF1EFA" w:rsidRDefault="00CF1EFA" w:rsidP="00CF1EFA">
      <w:pPr>
        <w:pStyle w:val="Paragraphedeliste"/>
        <w:numPr>
          <w:ilvl w:val="0"/>
          <w:numId w:val="2"/>
        </w:numPr>
        <w:jc w:val="both"/>
      </w:pPr>
      <w:r>
        <w:t>Remarque</w:t>
      </w:r>
      <w:r w:rsidR="00EE068F">
        <w:t>s</w:t>
      </w:r>
      <w:r>
        <w:t xml:space="preserve"> sur le PV précédent </w:t>
      </w:r>
    </w:p>
    <w:p w14:paraId="44CAE4C0" w14:textId="77777777" w:rsidR="00CF1EFA" w:rsidRDefault="00CF1EFA" w:rsidP="00CF1EFA">
      <w:pPr>
        <w:pStyle w:val="Paragraphedeliste"/>
        <w:numPr>
          <w:ilvl w:val="0"/>
          <w:numId w:val="2"/>
        </w:numPr>
        <w:jc w:val="both"/>
      </w:pPr>
      <w:r>
        <w:t>Présentation des chiffres de l’ONE sur les SAEMD</w:t>
      </w:r>
    </w:p>
    <w:p w14:paraId="579DB1C2" w14:textId="6DF70F59" w:rsidR="00CF1EFA" w:rsidRPr="00CF1EFA" w:rsidRDefault="00CF1EFA" w:rsidP="00CF1EFA"/>
    <w:p w14:paraId="57B94621" w14:textId="6F0D98E2" w:rsidR="00CF1EFA" w:rsidRPr="00CF1EFA" w:rsidRDefault="00CF1EFA" w:rsidP="00CF1EFA">
      <w:r w:rsidRPr="00CF1EFA">
        <w:rPr>
          <w:b/>
          <w:bCs/>
        </w:rPr>
        <w:t>Revue du procès-verbal précédent</w:t>
      </w:r>
      <w:r w:rsidRPr="00CF1EFA">
        <w:br/>
        <w:t xml:space="preserve">Aucun commentaire n’est </w:t>
      </w:r>
      <w:r w:rsidR="00D0607E">
        <w:t>formulé</w:t>
      </w:r>
      <w:r w:rsidRPr="00CF1EFA">
        <w:t xml:space="preserve">. </w:t>
      </w:r>
    </w:p>
    <w:p w14:paraId="79C433FB" w14:textId="3A14CE41" w:rsidR="00CF1EFA" w:rsidRPr="00CF1EFA" w:rsidRDefault="00CF1EFA" w:rsidP="00CF1EFA"/>
    <w:p w14:paraId="3D687E55" w14:textId="77777777" w:rsidR="008421C8" w:rsidRDefault="00CF1EFA" w:rsidP="00FD717A">
      <w:pPr>
        <w:rPr>
          <w:b/>
          <w:bCs/>
        </w:rPr>
      </w:pPr>
      <w:r w:rsidRPr="00CF1EFA">
        <w:rPr>
          <w:b/>
          <w:bCs/>
        </w:rPr>
        <w:t xml:space="preserve">Présentation de la proposition de modification réglementaire </w:t>
      </w:r>
    </w:p>
    <w:p w14:paraId="770B15C6" w14:textId="144262DD" w:rsidR="00CF1EFA" w:rsidRPr="00CF1EFA" w:rsidRDefault="008421C8" w:rsidP="008421C8">
      <w:pPr>
        <w:rPr>
          <w:i/>
          <w:iCs/>
        </w:rPr>
      </w:pPr>
      <w:r w:rsidRPr="00730AB5">
        <w:rPr>
          <w:i/>
          <w:iCs/>
        </w:rPr>
        <w:t>Contexte </w:t>
      </w:r>
      <w:r w:rsidR="000903E8">
        <w:rPr>
          <w:i/>
          <w:iCs/>
        </w:rPr>
        <w:t xml:space="preserve">décrit par l’ONE </w:t>
      </w:r>
      <w:r w:rsidRPr="00730AB5">
        <w:rPr>
          <w:i/>
          <w:iCs/>
        </w:rPr>
        <w:t xml:space="preserve">: Demande du Cabinet de réflexions sur une modification réglementaire de l’Arrêté du 2 mai 2019 dans le secteur de l’accueil à l’ONE et l’ONE en a profité pour suggérer une modification du quota d’heures des SAEMD. </w:t>
      </w:r>
      <w:r>
        <w:rPr>
          <w:i/>
          <w:iCs/>
        </w:rPr>
        <w:br/>
      </w:r>
      <w:r w:rsidR="00CF1EFA" w:rsidRPr="00CF1EFA">
        <w:br/>
      </w:r>
      <w:r w:rsidR="00380F0D">
        <w:t>L’ONE</w:t>
      </w:r>
      <w:r w:rsidR="00CF1EFA" w:rsidRPr="00CF1EFA">
        <w:t xml:space="preserve"> expose la proposition visant à modifier la répartition du quota d’heures entre secteur accueil enfants malades et autres secteurs</w:t>
      </w:r>
      <w:r w:rsidR="00AD2620">
        <w:t xml:space="preserve"> (MAE/ATL)</w:t>
      </w:r>
      <w:r w:rsidR="00CF1EFA" w:rsidRPr="00CF1EFA">
        <w:t>, actuellement à environ 82%</w:t>
      </w:r>
      <w:r w:rsidR="00D0607E">
        <w:t xml:space="preserve"> </w:t>
      </w:r>
      <w:r w:rsidR="00CF1EFA" w:rsidRPr="00CF1EFA">
        <w:t>-</w:t>
      </w:r>
      <w:r w:rsidR="00D0607E">
        <w:t xml:space="preserve"> </w:t>
      </w:r>
      <w:r w:rsidR="00CF1EFA" w:rsidRPr="00CF1EFA">
        <w:t>1</w:t>
      </w:r>
      <w:r>
        <w:t>8</w:t>
      </w:r>
      <w:r w:rsidR="00CF1EFA" w:rsidRPr="00CF1EFA">
        <w:t>%, pour passer à 60%</w:t>
      </w:r>
      <w:r w:rsidR="00537261">
        <w:t xml:space="preserve"> </w:t>
      </w:r>
      <w:r w:rsidR="00CF1EFA" w:rsidRPr="00CF1EFA">
        <w:t>-</w:t>
      </w:r>
      <w:r w:rsidR="00537261">
        <w:t xml:space="preserve"> </w:t>
      </w:r>
      <w:r w:rsidR="00CF1EFA" w:rsidRPr="00CF1EFA">
        <w:t>40%. Cette modification vise à réduire les remboursements dus par les services d’accueil d’enfants malades à l’O</w:t>
      </w:r>
      <w:r w:rsidR="00380F0D">
        <w:t>NE</w:t>
      </w:r>
      <w:r w:rsidR="00CF1EFA" w:rsidRPr="00CF1EFA">
        <w:t xml:space="preserve"> en augmentant la prise en compte des heures dans les autres secteurs.</w:t>
      </w:r>
    </w:p>
    <w:p w14:paraId="7F4F34DA" w14:textId="6566470E" w:rsidR="00CF1EFA" w:rsidRPr="00CF1EFA" w:rsidRDefault="00CF1EFA" w:rsidP="00FD717A">
      <w:r w:rsidRPr="00CF1EFA">
        <w:t xml:space="preserve">Des données chiffrées détaillées </w:t>
      </w:r>
      <w:r w:rsidR="00AD2620">
        <w:t>ont été</w:t>
      </w:r>
      <w:r w:rsidRPr="00CF1EFA">
        <w:t xml:space="preserve"> présentées</w:t>
      </w:r>
      <w:r w:rsidR="00020F30">
        <w:t>,</w:t>
      </w:r>
      <w:r w:rsidRPr="00CF1EFA">
        <w:t xml:space="preserve"> montrant l’impact positif de cette modification sur la réduction des montants à rembourser, avec des gains pouvant atteindre plusieurs milliers d’euros par service. Toutefois, certains services restent en difficulté malgré cette répartition.</w:t>
      </w:r>
    </w:p>
    <w:p w14:paraId="0EC631B2" w14:textId="52CFB3B8" w:rsidR="00572518" w:rsidRDefault="009945B2" w:rsidP="0000561B">
      <w:pPr>
        <w:jc w:val="both"/>
      </w:pPr>
      <w:r>
        <w:t xml:space="preserve">Les discussions se </w:t>
      </w:r>
      <w:r w:rsidR="00793027">
        <w:t>portent autour</w:t>
      </w:r>
      <w:r w:rsidR="00CF1EFA" w:rsidRPr="00CF1EFA">
        <w:t xml:space="preserve"> de la pertinence du seuil 60</w:t>
      </w:r>
      <w:r w:rsidR="00FB0782">
        <w:t>%</w:t>
      </w:r>
      <w:r w:rsidR="00020F30">
        <w:t xml:space="preserve"> </w:t>
      </w:r>
      <w:r w:rsidR="00CF1EFA" w:rsidRPr="00CF1EFA">
        <w:t>-</w:t>
      </w:r>
      <w:r w:rsidR="00020F30">
        <w:t xml:space="preserve"> </w:t>
      </w:r>
      <w:r w:rsidR="00CF1EFA" w:rsidRPr="00CF1EFA">
        <w:t>40</w:t>
      </w:r>
      <w:r w:rsidR="00FB0782">
        <w:t>%</w:t>
      </w:r>
      <w:r w:rsidR="00CF1EFA" w:rsidRPr="00CF1EFA">
        <w:t>, évoquant que pour éliminer totalement les remboursements, il faudrait descendre à un ratio 50</w:t>
      </w:r>
      <w:r w:rsidR="00FB0782">
        <w:t>%</w:t>
      </w:r>
      <w:r w:rsidR="00020F30">
        <w:t xml:space="preserve"> </w:t>
      </w:r>
      <w:r w:rsidR="00CF1EFA" w:rsidRPr="00CF1EFA">
        <w:t>-</w:t>
      </w:r>
      <w:r w:rsidR="00020F30">
        <w:t xml:space="preserve"> </w:t>
      </w:r>
      <w:r w:rsidR="00CF1EFA" w:rsidRPr="00CF1EFA">
        <w:t>50</w:t>
      </w:r>
      <w:r w:rsidR="00FB0782">
        <w:t>%</w:t>
      </w:r>
      <w:r w:rsidR="00A13DA8">
        <w:t>. Cela pourrait néanmoins</w:t>
      </w:r>
      <w:r w:rsidR="00CF1EFA" w:rsidRPr="00CF1EFA">
        <w:t xml:space="preserve"> dénaturer l’activité principale des services. La proposition est vue comme une solution à court terme, avec la nécessité de réfléchir à moyen terme à la nature même des services d’accueil d’enfants malades.</w:t>
      </w:r>
      <w:r w:rsidR="005D38DC">
        <w:t xml:space="preserve"> </w:t>
      </w:r>
      <w:r w:rsidR="00572518">
        <w:t xml:space="preserve">L’ONE rappelle qu’un subside nécessite une justification. Une accessoirisation des services risquerait de ne plus justifier </w:t>
      </w:r>
      <w:r w:rsidR="00F402E4">
        <w:t>cette</w:t>
      </w:r>
      <w:r w:rsidR="00572518">
        <w:t xml:space="preserve"> subvention.</w:t>
      </w:r>
    </w:p>
    <w:p w14:paraId="1CAB8D01" w14:textId="4C7FF097" w:rsidR="00CF1EFA" w:rsidRPr="00CF1EFA" w:rsidRDefault="00612FE1" w:rsidP="0000561B">
      <w:pPr>
        <w:jc w:val="both"/>
      </w:pPr>
      <w:r>
        <w:lastRenderedPageBreak/>
        <w:t xml:space="preserve">L’ONE rappelle </w:t>
      </w:r>
      <w:r w:rsidR="00572518">
        <w:t xml:space="preserve">également </w:t>
      </w:r>
      <w:r>
        <w:t xml:space="preserve">que le but est de laisser le secteur s’exprimer </w:t>
      </w:r>
      <w:r w:rsidR="007C7EB1">
        <w:t xml:space="preserve">sur son </w:t>
      </w:r>
      <w:r w:rsidR="006660F8">
        <w:t>avenir</w:t>
      </w:r>
      <w:r w:rsidR="007C7EB1">
        <w:t>. L</w:t>
      </w:r>
      <w:r w:rsidR="0031362C">
        <w:t xml:space="preserve">’objectif est de dépasser une vision obsolète de ce service rendu à la population </w:t>
      </w:r>
      <w:r w:rsidR="00EE2BC7">
        <w:t xml:space="preserve">afin </w:t>
      </w:r>
      <w:r w:rsidR="007347EA">
        <w:t xml:space="preserve">de </w:t>
      </w:r>
      <w:r w:rsidR="002C34AC">
        <w:t>le rendre viable.</w:t>
      </w:r>
    </w:p>
    <w:p w14:paraId="7C4D11F0" w14:textId="4B397671" w:rsidR="00CF1EFA" w:rsidRPr="00CF1EFA" w:rsidRDefault="00CF1EFA" w:rsidP="00CF1EFA"/>
    <w:p w14:paraId="33B61555" w14:textId="40C581C5" w:rsidR="00CF1EFA" w:rsidRPr="00CF1EFA" w:rsidRDefault="006D37CB" w:rsidP="00CF1EFA">
      <w:r>
        <w:rPr>
          <w:b/>
          <w:bCs/>
        </w:rPr>
        <w:t>Mise en œuvre et calendrier</w:t>
      </w:r>
      <w:r w:rsidR="00CF1EFA" w:rsidRPr="00CF1EFA">
        <w:rPr>
          <w:b/>
          <w:bCs/>
        </w:rPr>
        <w:t xml:space="preserve"> </w:t>
      </w:r>
      <w:r w:rsidR="00CF1EFA" w:rsidRPr="00CF1EFA">
        <w:br/>
        <w:t>Il est précisé que la modification proposée serait rétroactive au 1er janvier 2025, sous réserve de l’adoption d’un arrêté réglementaire. La tolérance actuelle a déjà été appliquée en 2024</w:t>
      </w:r>
      <w:r w:rsidR="00911431">
        <w:t xml:space="preserve"> et </w:t>
      </w:r>
      <w:r w:rsidR="00763967">
        <w:t>le sera</w:t>
      </w:r>
      <w:r w:rsidR="00911431">
        <w:t xml:space="preserve"> en 2025 si le texte devait être voté</w:t>
      </w:r>
      <w:r w:rsidR="00800FD8">
        <w:t xml:space="preserve"> et entrer </w:t>
      </w:r>
      <w:r w:rsidR="00AF70B5">
        <w:t>en vigueur</w:t>
      </w:r>
      <w:r w:rsidR="00911431">
        <w:t xml:space="preserve"> pour l’année 2026</w:t>
      </w:r>
      <w:r w:rsidR="00CF1EFA" w:rsidRPr="00CF1EFA">
        <w:t xml:space="preserve">. </w:t>
      </w:r>
      <w:r w:rsidR="00692CB2">
        <w:t>L’attente se situe, in fine, autour du Cabinet devant</w:t>
      </w:r>
      <w:r w:rsidR="00CF1EFA" w:rsidRPr="00CF1EFA">
        <w:t xml:space="preserve"> finaliser le texte, probablement après le conclave budgétaire.</w:t>
      </w:r>
    </w:p>
    <w:p w14:paraId="6F3536E4" w14:textId="77777777" w:rsidR="00C01960" w:rsidRDefault="00CF1EFA" w:rsidP="00CF1EFA">
      <w:r w:rsidRPr="00CF1EFA">
        <w:t xml:space="preserve">Les questions budgétaires sont abordées : la mesure ne devrait pas engendrer de coût supplémentaire pour la communauté française car elle repose sur une répartition différente des heures déjà financées. </w:t>
      </w:r>
    </w:p>
    <w:p w14:paraId="6B5D1C24" w14:textId="206193F0" w:rsidR="00CF1EFA" w:rsidRPr="00CF1EFA" w:rsidRDefault="00CF1EFA" w:rsidP="00CF1EFA">
      <w:r w:rsidRPr="00CF1EFA">
        <w:t xml:space="preserve">Les participants insistent sur la nécessité d’informer rapidement les services concernés </w:t>
      </w:r>
      <w:r w:rsidR="00FE24A9">
        <w:t>par</w:t>
      </w:r>
      <w:r w:rsidR="00226C23">
        <w:t xml:space="preserve"> le vote de ce texte </w:t>
      </w:r>
      <w:r w:rsidRPr="00CF1EFA">
        <w:t>afin d’éviter des licenciements liés à des remboursements imprévus.</w:t>
      </w:r>
    </w:p>
    <w:p w14:paraId="6E0D8F1B" w14:textId="7681BD4A" w:rsidR="00CF1EFA" w:rsidRPr="00CF1EFA" w:rsidRDefault="00CF1EFA" w:rsidP="00CF1EFA"/>
    <w:p w14:paraId="3B7BDE3F" w14:textId="48FD6C31" w:rsidR="008B5A4A" w:rsidRDefault="00112098" w:rsidP="00CF1EFA">
      <w:r>
        <w:rPr>
          <w:b/>
          <w:bCs/>
        </w:rPr>
        <w:t>Evocation de d</w:t>
      </w:r>
      <w:r w:rsidR="00CF1EFA" w:rsidRPr="00CF1EFA">
        <w:rPr>
          <w:b/>
          <w:bCs/>
        </w:rPr>
        <w:t xml:space="preserve">ifficultés rencontrées par les services </w:t>
      </w:r>
    </w:p>
    <w:p w14:paraId="12A02F4F" w14:textId="23F73701" w:rsidR="008B5A4A" w:rsidRPr="00DB3DDE" w:rsidRDefault="008B5A4A" w:rsidP="008B5A4A">
      <w:pPr>
        <w:pStyle w:val="Paragraphedeliste"/>
        <w:numPr>
          <w:ilvl w:val="0"/>
          <w:numId w:val="11"/>
        </w:numPr>
        <w:rPr>
          <w:u w:val="single"/>
        </w:rPr>
      </w:pPr>
      <w:r w:rsidRPr="00DB3DDE">
        <w:rPr>
          <w:u w:val="single"/>
        </w:rPr>
        <w:t xml:space="preserve">Paradoxe entre </w:t>
      </w:r>
      <w:r w:rsidR="00DB3DDE" w:rsidRPr="00DB3DDE">
        <w:rPr>
          <w:u w:val="single"/>
        </w:rPr>
        <w:t>demande des parents en baisse et coûts financiers trop élevés</w:t>
      </w:r>
    </w:p>
    <w:p w14:paraId="1937ECBB" w14:textId="4E33344B" w:rsidR="00CF1EFA" w:rsidRPr="00CF1EFA" w:rsidRDefault="00586BBF" w:rsidP="00CF1EFA">
      <w:r>
        <w:t>Il est souligné</w:t>
      </w:r>
      <w:r w:rsidR="00CF1EFA" w:rsidRPr="00CF1EFA">
        <w:t xml:space="preserve"> que la baisse de la demande d’accueil d’enfants malades est une tendance ancienne, accentuée par le télétravail et les crises successives. Le coût élevé pour les familles est identifié comme un frein majeur à l’utilisation des services.</w:t>
      </w:r>
    </w:p>
    <w:p w14:paraId="4DA43ABA" w14:textId="655E6DBE" w:rsidR="009A5BBB" w:rsidRPr="009A5BBB" w:rsidRDefault="009A5BBB" w:rsidP="009A5BBB">
      <w:pPr>
        <w:pStyle w:val="Paragraphedeliste"/>
        <w:numPr>
          <w:ilvl w:val="0"/>
          <w:numId w:val="10"/>
        </w:numPr>
        <w:rPr>
          <w:u w:val="single"/>
        </w:rPr>
      </w:pPr>
      <w:r w:rsidRPr="009A5BBB">
        <w:rPr>
          <w:u w:val="single"/>
        </w:rPr>
        <w:t>Gestion des pics</w:t>
      </w:r>
      <w:r w:rsidR="00FF4E51">
        <w:rPr>
          <w:u w:val="single"/>
        </w:rPr>
        <w:t xml:space="preserve"> et mutualisation des coûts</w:t>
      </w:r>
    </w:p>
    <w:p w14:paraId="35F09E6C" w14:textId="774FDB7D" w:rsidR="008615AD" w:rsidRDefault="00CF1EFA" w:rsidP="008615AD">
      <w:r w:rsidRPr="00CF1EFA">
        <w:t>La gestion des pics d’activité hivernaux est évoquée comme un enjeu important, nécessitant une meilleure coordination entre services d’accueil classiques et services d’accueil d’enfants malades. La mutualisation des ressources humaines, notamment le détachement de personnel entre structures, est proposée comme piste à explorer.</w:t>
      </w:r>
      <w:r w:rsidR="005338B6">
        <w:t xml:space="preserve"> </w:t>
      </w:r>
      <w:r w:rsidR="006D4F50">
        <w:t>Il faudra toutefois prendre en compte le cas des</w:t>
      </w:r>
      <w:r w:rsidR="005338B6">
        <w:t xml:space="preserve"> structures isolées ne faisant partie d’aucun réseau.</w:t>
      </w:r>
      <w:r w:rsidR="009A2B66">
        <w:t xml:space="preserve"> </w:t>
      </w:r>
    </w:p>
    <w:p w14:paraId="2CE41718" w14:textId="6BD4101C" w:rsidR="008615AD" w:rsidRDefault="008615AD" w:rsidP="008615AD">
      <w:r w:rsidRPr="008615AD">
        <w:t xml:space="preserve">Une partie des pics peut être </w:t>
      </w:r>
      <w:r w:rsidR="00337554">
        <w:t>absorbée</w:t>
      </w:r>
      <w:r w:rsidRPr="008615AD">
        <w:t xml:space="preserve"> par les structures existantes, mais une autre partie reste non couverte, obligeant parfois les parents à gérer eux-mêmes ces situations.</w:t>
      </w:r>
      <w:r>
        <w:t xml:space="preserve"> Les Fédérations devront </w:t>
      </w:r>
      <w:r w:rsidR="00EB0CEF">
        <w:t xml:space="preserve">néanmoins </w:t>
      </w:r>
      <w:r>
        <w:t>se concentrer sur l</w:t>
      </w:r>
      <w:r w:rsidR="00B90DF8">
        <w:t>es aspects se trouvant dans les zones de contrôle.</w:t>
      </w:r>
    </w:p>
    <w:p w14:paraId="11818765" w14:textId="68409012" w:rsidR="00CF1EFA" w:rsidRPr="008B5A4A" w:rsidRDefault="00263B7E" w:rsidP="00263B7E">
      <w:pPr>
        <w:pStyle w:val="Paragraphedeliste"/>
        <w:numPr>
          <w:ilvl w:val="0"/>
          <w:numId w:val="10"/>
        </w:numPr>
        <w:rPr>
          <w:u w:val="single"/>
        </w:rPr>
      </w:pPr>
      <w:r w:rsidRPr="008B5A4A">
        <w:rPr>
          <w:u w:val="single"/>
        </w:rPr>
        <w:t xml:space="preserve">Visibilité </w:t>
      </w:r>
      <w:r w:rsidR="008B5A4A" w:rsidRPr="008B5A4A">
        <w:rPr>
          <w:u w:val="single"/>
        </w:rPr>
        <w:t>et communication</w:t>
      </w:r>
    </w:p>
    <w:p w14:paraId="10D20937" w14:textId="60E1DBAB" w:rsidR="00D7740D" w:rsidRPr="00CF1EFA" w:rsidRDefault="00D7740D" w:rsidP="00D7740D">
      <w:r>
        <w:t>Le manque de visibilité</w:t>
      </w:r>
      <w:r w:rsidRPr="00CF1EFA">
        <w:t xml:space="preserve"> des services d’accueil d’enfants malades auprès des familles et des professionnels de santé</w:t>
      </w:r>
      <w:r>
        <w:t xml:space="preserve"> est également mis en lumière</w:t>
      </w:r>
      <w:r w:rsidRPr="00CF1EFA">
        <w:t xml:space="preserve">. Une meilleure communication, notamment via des plateformes centralisées et des campagnes de sensibilisation, est jugée essentielle </w:t>
      </w:r>
      <w:r w:rsidR="00262699">
        <w:t xml:space="preserve">par certains intervenants </w:t>
      </w:r>
      <w:r w:rsidRPr="00CF1EFA">
        <w:t>pour augmenter la demande.</w:t>
      </w:r>
    </w:p>
    <w:p w14:paraId="4FF52269" w14:textId="4FA20780" w:rsidR="0079464E" w:rsidRDefault="00D7740D" w:rsidP="00CF1EFA">
      <w:r w:rsidRPr="00CF1EFA">
        <w:t xml:space="preserve">Il est </w:t>
      </w:r>
      <w:r w:rsidR="002B5CAC">
        <w:t>également</w:t>
      </w:r>
      <w:r w:rsidRPr="00CF1EFA">
        <w:t xml:space="preserve"> évoqué que la complexité du système et la disparité des tarifs freinent l’accès aux services.</w:t>
      </w:r>
      <w:r w:rsidR="0092769D" w:rsidRPr="001F6060">
        <w:rPr>
          <w:rFonts w:ascii="Arial" w:eastAsia="Times New Roman" w:hAnsi="Arial" w:cs="Arial"/>
          <w:color w:val="1E293B"/>
          <w:kern w:val="0"/>
          <w:sz w:val="27"/>
          <w:szCs w:val="27"/>
          <w:lang w:eastAsia="fr-BE"/>
          <w14:ligatures w14:val="none"/>
        </w:rPr>
        <w:t xml:space="preserve"> </w:t>
      </w:r>
      <w:r w:rsidR="0092769D" w:rsidRPr="001F6060">
        <w:t>Les tarifs pratiqués par les différents services varient fortement, allant de quelques euros à 80 euros, selon les structures et les modalités de prise en charge.</w:t>
      </w:r>
      <w:r w:rsidR="001F6060">
        <w:t xml:space="preserve"> </w:t>
      </w:r>
      <w:r w:rsidR="0092769D" w:rsidRPr="0092769D">
        <w:t>Cette hétérogénéité tarifaire crée une inégalité d’accès financièrement parlant et complique la lisibilité pour les familles, qui ne savent pas toujours à quoi s’attendre ni comment comparer les offres.</w:t>
      </w:r>
      <w:r w:rsidR="001F6060" w:rsidRPr="001F6060">
        <w:t xml:space="preserve"> </w:t>
      </w:r>
      <w:r w:rsidR="0092769D" w:rsidRPr="0092769D">
        <w:t>Le coût élevé ou imprévisible peut dissuader certaines familles de recourir aux services, même lorsqu’elles en ont besoin.</w:t>
      </w:r>
    </w:p>
    <w:p w14:paraId="5549448F" w14:textId="614F5F11" w:rsidR="0079464E" w:rsidRPr="00BE62DD" w:rsidRDefault="0079464E" w:rsidP="0079464E">
      <w:pPr>
        <w:rPr>
          <w:b/>
          <w:bCs/>
        </w:rPr>
      </w:pPr>
      <w:r w:rsidRPr="00CF1EFA">
        <w:rPr>
          <w:b/>
          <w:bCs/>
        </w:rPr>
        <w:lastRenderedPageBreak/>
        <w:t>Questions de financement, mutualisation et gestion budgétaire</w:t>
      </w:r>
      <w:r w:rsidR="00363FCB">
        <w:rPr>
          <w:b/>
          <w:bCs/>
        </w:rPr>
        <w:t xml:space="preserve"> des structures</w:t>
      </w:r>
      <w:r w:rsidRPr="00CF1EFA">
        <w:rPr>
          <w:b/>
          <w:bCs/>
        </w:rPr>
        <w:t xml:space="preserve"> </w:t>
      </w:r>
    </w:p>
    <w:p w14:paraId="76D8132A" w14:textId="77777777" w:rsidR="0079464E" w:rsidRDefault="0079464E" w:rsidP="0079464E">
      <w:r w:rsidRPr="00CF1EFA">
        <w:t>Les difficultés liées à la gestion des budgets annuels</w:t>
      </w:r>
      <w:r>
        <w:t xml:space="preserve"> des structures</w:t>
      </w:r>
      <w:r w:rsidRPr="00CF1EFA">
        <w:t xml:space="preserve">, aux fermetures de services et à la perte de subventions sont discutées. </w:t>
      </w:r>
    </w:p>
    <w:p w14:paraId="5A641DB4" w14:textId="004776C2" w:rsidR="0079464E" w:rsidRPr="00BE62DD" w:rsidRDefault="00404E59" w:rsidP="0079464E">
      <w:pPr>
        <w:pStyle w:val="Paragraphedeliste"/>
        <w:numPr>
          <w:ilvl w:val="0"/>
          <w:numId w:val="8"/>
        </w:numPr>
        <w:rPr>
          <w:u w:val="single"/>
        </w:rPr>
      </w:pPr>
      <w:r>
        <w:rPr>
          <w:u w:val="single"/>
        </w:rPr>
        <w:t xml:space="preserve">Financement des structures </w:t>
      </w:r>
    </w:p>
    <w:p w14:paraId="4DD46E83" w14:textId="77777777" w:rsidR="0079464E" w:rsidRDefault="0079464E" w:rsidP="0079464E">
      <w:r>
        <w:t xml:space="preserve">Face à la perte des subventions de la part des mutuelles, se pose la question de l’impact sur les structures et des financements par les communes dans un contexte propice au retranchement des pouvoirs subsidiant. Une analyse financière plus poussée devra être envisagée par les fédérations afin de permettre la survie des SAEMD existantes. Cela devra passer, entre autres, par la question de la facturation des parents en parallèle de la compensation des pertes des aides mutualistes  </w:t>
      </w:r>
    </w:p>
    <w:p w14:paraId="7B1A76E0" w14:textId="47A55B16" w:rsidR="00A40BF6" w:rsidRDefault="00A40BF6" w:rsidP="0079464E">
      <w:r>
        <w:t>Attention, puisque le budget ONE est annuel, i</w:t>
      </w:r>
      <w:r w:rsidRPr="00CF1EFA">
        <w:t>l est</w:t>
      </w:r>
      <w:r>
        <w:t xml:space="preserve"> également</w:t>
      </w:r>
      <w:r w:rsidRPr="00CF1EFA">
        <w:t xml:space="preserve"> souligné que les budgets non consommés ne sont pas </w:t>
      </w:r>
      <w:r>
        <w:t>réaffectés</w:t>
      </w:r>
      <w:r w:rsidRPr="00CF1EFA">
        <w:t xml:space="preserve"> au secteur.</w:t>
      </w:r>
      <w:r>
        <w:t xml:space="preserve"> Une solution doit être trouvée pour arrêter l’hémorragie dans le cas d’un service arrêtant ses activités. Une piste pourrait venir d’un appel pour trouver un service </w:t>
      </w:r>
      <w:r w:rsidR="00520EA5">
        <w:t>existant</w:t>
      </w:r>
      <w:r w:rsidR="00C31270">
        <w:t xml:space="preserve"> non-subventionné</w:t>
      </w:r>
      <w:r w:rsidR="00520EA5">
        <w:t xml:space="preserve"> </w:t>
      </w:r>
      <w:r>
        <w:t>reprenant la subvention dans l’année</w:t>
      </w:r>
      <w:r w:rsidR="0096637C">
        <w:t xml:space="preserve">, </w:t>
      </w:r>
      <w:r w:rsidR="00C31270">
        <w:t>d’où la nécessité d’une autorisation obligatoire.</w:t>
      </w:r>
    </w:p>
    <w:p w14:paraId="69A0758C" w14:textId="77777777" w:rsidR="0079464E" w:rsidRDefault="0079464E" w:rsidP="0079464E">
      <w:r>
        <w:t>Quid d’un budget pluriannuel pour les structures ? Selon l’ONE, un budget sur plusieurs années pourrait ouvrir la porte à une note finale plus élevée et donc contreproductive pour la structure. Toutefois, une vision pluriannuelle des quotas d’heure pourrait être une piste à explorer.</w:t>
      </w:r>
      <w:r w:rsidRPr="00BE62DD">
        <w:t xml:space="preserve"> </w:t>
      </w:r>
    </w:p>
    <w:p w14:paraId="4BCA7385" w14:textId="77777777" w:rsidR="0079464E" w:rsidRDefault="0079464E" w:rsidP="0079464E">
      <w:r w:rsidRPr="00CF1EFA">
        <w:t>La mutualisation des coûts, notamment pour les services administratifs et les infrastructures (centrales téléphoniques, déplacements), est proposée comme solution pour améliorer la viabilité financière des services.</w:t>
      </w:r>
    </w:p>
    <w:p w14:paraId="30BE923B" w14:textId="0385D7CB" w:rsidR="0079464E" w:rsidRPr="00CF1EFA" w:rsidRDefault="0079464E" w:rsidP="0079464E">
      <w:r w:rsidRPr="00FE30B7">
        <w:t>Quid d’un forfait mensuel pour les parents, à l’instar des crèches communales ?</w:t>
      </w:r>
      <w:r>
        <w:t xml:space="preserve"> L</w:t>
      </w:r>
      <w:r w:rsidRPr="00FB0A92">
        <w:t>’instauration d’un forfait mensuel pour les parents est une piste évoquée, mais elle nécessite une analyse approfondie pour éviter des effets pervers, notamment une charge financière accrue pour les familles, et doit s’accompagner d’une augmentation de l’offre et d’une coordination avec les services d’accueil classiques.</w:t>
      </w:r>
      <w:r w:rsidR="002F5FC6" w:rsidRPr="002F5FC6">
        <w:t> </w:t>
      </w:r>
      <w:r w:rsidR="002F5FC6">
        <w:t>S</w:t>
      </w:r>
      <w:r w:rsidR="002F5FC6" w:rsidRPr="002F5FC6">
        <w:t>i les parents doivent payer un forfait mensuel même lorsque leur enfant est malade et ne fréquente pas la crèche, cela pourrait entraîner une double charge financière, notamment si le service d’accueil d’enfants malades est facturé en plus.</w:t>
      </w:r>
    </w:p>
    <w:p w14:paraId="19FC9DE7" w14:textId="77777777" w:rsidR="0079464E" w:rsidRDefault="0079464E" w:rsidP="0079464E">
      <w:r w:rsidRPr="00CF1EFA">
        <w:t>La question des frais kilométriques et de leur taxation future est soulevée comme un défi à anticiper.</w:t>
      </w:r>
    </w:p>
    <w:p w14:paraId="6042C47B" w14:textId="7AA6D72D" w:rsidR="0079464E" w:rsidRPr="00BE62DD" w:rsidRDefault="00C01F0E" w:rsidP="0079464E">
      <w:pPr>
        <w:pStyle w:val="Paragraphedeliste"/>
        <w:numPr>
          <w:ilvl w:val="0"/>
          <w:numId w:val="8"/>
        </w:numPr>
        <w:rPr>
          <w:u w:val="single"/>
        </w:rPr>
      </w:pPr>
      <w:r>
        <w:rPr>
          <w:u w:val="single"/>
        </w:rPr>
        <w:t>P</w:t>
      </w:r>
      <w:r w:rsidR="0079464E" w:rsidRPr="00BE62DD">
        <w:rPr>
          <w:u w:val="single"/>
        </w:rPr>
        <w:t>oliti</w:t>
      </w:r>
      <w:r w:rsidR="0079464E">
        <w:rPr>
          <w:u w:val="single"/>
        </w:rPr>
        <w:t>que</w:t>
      </w:r>
      <w:r>
        <w:rPr>
          <w:u w:val="single"/>
        </w:rPr>
        <w:t xml:space="preserve"> et impacts financiers</w:t>
      </w:r>
      <w:r w:rsidR="0079464E">
        <w:rPr>
          <w:u w:val="single"/>
        </w:rPr>
        <w:t xml:space="preserve"> à plus grande échelle</w:t>
      </w:r>
    </w:p>
    <w:p w14:paraId="7C789432" w14:textId="77777777" w:rsidR="0079464E" w:rsidRDefault="0079464E" w:rsidP="0079464E">
      <w:r>
        <w:t>La Ligue des Familles soulève une piste de soutien au niveau du parti des Engagés. Ceux-ci peuvent être en mauvaise posture au niveau des allocations familiales, ce qui peut être une porte d’entrée pour introduire le thème des SAEMD.</w:t>
      </w:r>
    </w:p>
    <w:p w14:paraId="38DA497C" w14:textId="77777777" w:rsidR="0079464E" w:rsidRDefault="0079464E" w:rsidP="0079464E">
      <w:r>
        <w:t xml:space="preserve">En ce qui concerne le calendrier du contrat de gestion de l’ONE, avec des moyens potentiels, les </w:t>
      </w:r>
      <w:proofErr w:type="gramStart"/>
      <w:r>
        <w:t>timings</w:t>
      </w:r>
      <w:proofErr w:type="gramEnd"/>
      <w:r>
        <w:t xml:space="preserve"> ne sont pas les mêmes que ceux concernant le conclave. Proposition au premier trimestre 2026, conclusions au deuxième trimestre 2026 et premiers impacts en 2027. Pour le conclave, cependant, le budget 2026 sera accompagné d’un décret budgétaire avec une trajectoire pluriannuelle. Il faudra voir jusqu’où l’ONE pourra décadenasser cela.</w:t>
      </w:r>
    </w:p>
    <w:p w14:paraId="2941F5B0" w14:textId="77777777" w:rsidR="0079464E" w:rsidRPr="00CF1EFA" w:rsidRDefault="0079464E" w:rsidP="0079464E">
      <w:r w:rsidRPr="00CF1EFA">
        <w:t>Il est</w:t>
      </w:r>
      <w:r>
        <w:t xml:space="preserve"> également</w:t>
      </w:r>
      <w:r w:rsidRPr="00CF1EFA">
        <w:t xml:space="preserve"> souligné que les budgets non consommés ne sont pas toujours réaffectés efficacement au secteur.</w:t>
      </w:r>
    </w:p>
    <w:p w14:paraId="06B693AA" w14:textId="77777777" w:rsidR="00404E59" w:rsidRPr="00DC50FA" w:rsidRDefault="00404E59" w:rsidP="00404E59">
      <w:pPr>
        <w:pStyle w:val="Paragraphedeliste"/>
        <w:numPr>
          <w:ilvl w:val="0"/>
          <w:numId w:val="8"/>
        </w:numPr>
        <w:rPr>
          <w:u w:val="single"/>
        </w:rPr>
      </w:pPr>
      <w:r w:rsidRPr="00DC50FA">
        <w:rPr>
          <w:u w:val="single"/>
        </w:rPr>
        <w:lastRenderedPageBreak/>
        <w:t xml:space="preserve">Coût et impacts sociétaux </w:t>
      </w:r>
      <w:r>
        <w:rPr>
          <w:u w:val="single"/>
        </w:rPr>
        <w:t>en cas de disparition des SAEMD</w:t>
      </w:r>
    </w:p>
    <w:p w14:paraId="6F795B97" w14:textId="083399EF" w:rsidR="00DB3DDE" w:rsidRDefault="00404E59" w:rsidP="00CF1EFA">
      <w:r>
        <w:t>L</w:t>
      </w:r>
      <w:r w:rsidRPr="00A47864">
        <w:t>a FSM</w:t>
      </w:r>
      <w:r>
        <w:t>I</w:t>
      </w:r>
      <w:r w:rsidRPr="00A47864">
        <w:t xml:space="preserve"> a </w:t>
      </w:r>
      <w:r>
        <w:t>évoqué</w:t>
      </w:r>
      <w:r w:rsidRPr="00A47864">
        <w:t xml:space="preserve"> une étude portant </w:t>
      </w:r>
      <w:r w:rsidRPr="00E5458A">
        <w:t>sur sept</w:t>
      </w:r>
      <w:r w:rsidRPr="00A47864">
        <w:t xml:space="preserve"> structures d’accueil d’enfants malades. Cette étude a évalué l’impact sociétal des services, notamment sur la santé mentale des mères, et a estimé un coût sociétal d’environ 800 000 euros en cas de disparition de ces structures. Les données ont été extrapolées à partir d’informations déclaratives et du revenu moyen </w:t>
      </w:r>
      <w:r>
        <w:t xml:space="preserve">selon </w:t>
      </w:r>
      <w:proofErr w:type="spellStart"/>
      <w:r>
        <w:t>Statbel</w:t>
      </w:r>
      <w:proofErr w:type="spellEnd"/>
      <w:r w:rsidRPr="00A47864">
        <w:t>. Cette analyse souligne l’importance cruciale de ces services pour les familles et renforce l’urgence de leur maintien et de leur financement dans le cadre des réflexions sur l’avenir du secteur.</w:t>
      </w:r>
    </w:p>
    <w:p w14:paraId="5C52ECF7" w14:textId="77777777" w:rsidR="00404E59" w:rsidRPr="00CF1EFA" w:rsidRDefault="00404E59" w:rsidP="00CF1EFA"/>
    <w:p w14:paraId="3FC37638" w14:textId="77777777" w:rsidR="00DB3DDE" w:rsidRDefault="00CF1EFA" w:rsidP="00CF1EFA">
      <w:pPr>
        <w:rPr>
          <w:b/>
          <w:bCs/>
        </w:rPr>
      </w:pPr>
      <w:r w:rsidRPr="00CF1EFA">
        <w:rPr>
          <w:b/>
          <w:bCs/>
        </w:rPr>
        <w:t xml:space="preserve">Réflexions sur l’avenir du secteur et propositions d’innovation </w:t>
      </w:r>
    </w:p>
    <w:p w14:paraId="74A44B22" w14:textId="17EDF7C2" w:rsidR="00BC19CF" w:rsidRPr="00BC19CF" w:rsidRDefault="00DB3DDE" w:rsidP="00DB3DDE">
      <w:pPr>
        <w:pStyle w:val="Paragraphedeliste"/>
        <w:numPr>
          <w:ilvl w:val="0"/>
          <w:numId w:val="10"/>
        </w:numPr>
        <w:rPr>
          <w:u w:val="single"/>
        </w:rPr>
      </w:pPr>
      <w:r w:rsidRPr="00BC19CF">
        <w:rPr>
          <w:u w:val="single"/>
        </w:rPr>
        <w:t>Nécessité d</w:t>
      </w:r>
      <w:r w:rsidR="00BC19CF" w:rsidRPr="00BC19CF">
        <w:rPr>
          <w:u w:val="single"/>
        </w:rPr>
        <w:t xml:space="preserve">’innover un modèle hérité du FESC </w:t>
      </w:r>
    </w:p>
    <w:p w14:paraId="30828713" w14:textId="5DE34D96" w:rsidR="00CF1EFA" w:rsidRDefault="00CF1EFA" w:rsidP="00BC19CF">
      <w:r w:rsidRPr="00CF1EFA">
        <w:t>Les participants insistent sur la nécessité d’une réflexion stratégique à moyen terme pour repenser le modèle des services d’accueil d’enfants malades, en tenant compte des réalités géographiques, des besoins des familles et des contraintes budgétaires.</w:t>
      </w:r>
      <w:r w:rsidR="00BC4FB8">
        <w:t xml:space="preserve"> </w:t>
      </w:r>
      <w:r w:rsidR="001C27C5">
        <w:t>Au-delà d’un « modèle innovant », le secteur aurait besoin d’un modèle dépassant celui du FESC adopté dans l’urgence.</w:t>
      </w:r>
    </w:p>
    <w:p w14:paraId="7AAA8FDB" w14:textId="0C916814" w:rsidR="00BC19CF" w:rsidRPr="0079464E" w:rsidRDefault="0079464E" w:rsidP="00BC19CF">
      <w:pPr>
        <w:pStyle w:val="Paragraphedeliste"/>
        <w:numPr>
          <w:ilvl w:val="0"/>
          <w:numId w:val="10"/>
        </w:numPr>
        <w:rPr>
          <w:u w:val="single"/>
        </w:rPr>
      </w:pPr>
      <w:r w:rsidRPr="0079464E">
        <w:rPr>
          <w:u w:val="single"/>
        </w:rPr>
        <w:t>Question de l’autorisation unique</w:t>
      </w:r>
    </w:p>
    <w:p w14:paraId="1A84BF51" w14:textId="1D361AFD" w:rsidR="00CF1EFA" w:rsidRDefault="00CF1EFA" w:rsidP="00CF1EFA">
      <w:r w:rsidRPr="00CF1EFA">
        <w:t>La question de l’autorisation des services est abordée : un</w:t>
      </w:r>
      <w:r w:rsidR="00C4670E">
        <w:t xml:space="preserve">e autorisation </w:t>
      </w:r>
      <w:r w:rsidRPr="00CF1EFA">
        <w:t>unique harmonisé</w:t>
      </w:r>
      <w:r w:rsidR="00C4670E">
        <w:t>e</w:t>
      </w:r>
      <w:r w:rsidRPr="00CF1EFA">
        <w:t xml:space="preserve"> pourrait améliorer la visibilité et la qualité des services, tout en facilitant leur financement. Il est rappelé que le cadre réglementaire actuel prévoit une autorisation obligatoire à terme, mais que le délai </w:t>
      </w:r>
      <w:r w:rsidR="002D2BB3">
        <w:t xml:space="preserve">de 5 ans </w:t>
      </w:r>
      <w:r w:rsidRPr="00CF1EFA">
        <w:t>a été suspendu.</w:t>
      </w:r>
      <w:r w:rsidR="001F18CE">
        <w:t xml:space="preserve"> Les conditions d’autorisation devront être r</w:t>
      </w:r>
      <w:r w:rsidR="00197EAE">
        <w:t>éfléchies, dans un premier temps, par les Fédérations.</w:t>
      </w:r>
    </w:p>
    <w:p w14:paraId="51DECC37" w14:textId="5C2CCB9A" w:rsidR="00B36E91" w:rsidRPr="00C907DD" w:rsidRDefault="003729AA" w:rsidP="00B36E91">
      <w:pPr>
        <w:pStyle w:val="Paragraphedeliste"/>
        <w:numPr>
          <w:ilvl w:val="0"/>
          <w:numId w:val="10"/>
        </w:numPr>
        <w:rPr>
          <w:u w:val="single"/>
        </w:rPr>
      </w:pPr>
      <w:r w:rsidRPr="00C907DD">
        <w:rPr>
          <w:u w:val="single"/>
        </w:rPr>
        <w:t xml:space="preserve">Proposition d’un rapprochement entre </w:t>
      </w:r>
      <w:r w:rsidR="00976448" w:rsidRPr="00C907DD">
        <w:rPr>
          <w:u w:val="single"/>
        </w:rPr>
        <w:t>SAEMD et SAE</w:t>
      </w:r>
    </w:p>
    <w:p w14:paraId="321FF050" w14:textId="2818BE70" w:rsidR="00976448" w:rsidRPr="00CF1EFA" w:rsidRDefault="00E915A4" w:rsidP="00976448">
      <w:r>
        <w:t>L</w:t>
      </w:r>
      <w:r w:rsidRPr="00E915A4">
        <w:t>e rapprochement SAEMD</w:t>
      </w:r>
      <w:r w:rsidR="007209D3">
        <w:t xml:space="preserve"> </w:t>
      </w:r>
      <w:r w:rsidRPr="00E915A4">
        <w:t>-</w:t>
      </w:r>
      <w:r w:rsidR="007209D3">
        <w:t xml:space="preserve"> </w:t>
      </w:r>
      <w:r w:rsidRPr="00E915A4">
        <w:t xml:space="preserve">SAE est </w:t>
      </w:r>
      <w:r>
        <w:t>évoqué</w:t>
      </w:r>
      <w:r w:rsidRPr="00E915A4">
        <w:t xml:space="preserve"> </w:t>
      </w:r>
      <w:r w:rsidR="00E05DDE">
        <w:t xml:space="preserve">par l’ONE </w:t>
      </w:r>
      <w:r w:rsidRPr="00E915A4">
        <w:t>comme une opportunité pour optimiser les services</w:t>
      </w:r>
      <w:r>
        <w:t xml:space="preserve"> en ce qu’il s’agit de gestion à distance et que la couverture territoriale est largement supérieure</w:t>
      </w:r>
      <w:r w:rsidR="00D016E4">
        <w:t xml:space="preserve">. </w:t>
      </w:r>
      <w:r w:rsidR="008A7177">
        <w:t xml:space="preserve">Il s’agirait d’une forme de management des SAEMD par les SAE. Cependant, </w:t>
      </w:r>
      <w:r w:rsidR="000B7F64" w:rsidRPr="000B7F64">
        <w:t xml:space="preserve">cette piste nécessite un travail approfondi, avec des positions qui pourraient être divergentes entre les fédérations et </w:t>
      </w:r>
      <w:r w:rsidR="000B7F64">
        <w:t>syndicats</w:t>
      </w:r>
      <w:r w:rsidR="000B7F64" w:rsidRPr="000B7F64">
        <w:t>.</w:t>
      </w:r>
      <w:r w:rsidR="000B7F64">
        <w:t xml:space="preserve"> </w:t>
      </w:r>
      <w:r w:rsidR="00655D39">
        <w:t xml:space="preserve">Il faudra également renforcer l’administratif dans les SAE. </w:t>
      </w:r>
      <w:r w:rsidR="004179FD">
        <w:t xml:space="preserve">Il serait également intéressant d’établir une vision globale </w:t>
      </w:r>
      <w:r w:rsidR="00F34B8D">
        <w:t>pour les structures réunies, une forme de décloisonnement</w:t>
      </w:r>
      <w:r w:rsidR="00B62F78">
        <w:t xml:space="preserve"> afin de permettre une meilleure gestion du secteur</w:t>
      </w:r>
      <w:r w:rsidR="006C761B">
        <w:t>.</w:t>
      </w:r>
    </w:p>
    <w:p w14:paraId="64D953A6" w14:textId="1865A1BD" w:rsidR="00CF1EFA" w:rsidRPr="00CF1EFA" w:rsidRDefault="00CF1EFA" w:rsidP="00CF1EFA"/>
    <w:p w14:paraId="042F9E5B" w14:textId="3AB21FD9" w:rsidR="0022647B" w:rsidRDefault="00CF1EFA" w:rsidP="0022647B">
      <w:r w:rsidRPr="00CF1EFA">
        <w:rPr>
          <w:b/>
          <w:bCs/>
        </w:rPr>
        <w:t xml:space="preserve">Organisation des prochaines étapes et planification </w:t>
      </w:r>
      <w:r w:rsidRPr="00CF1EFA">
        <w:br/>
        <w:t>Il est convenu de formaliser la position des fédérations sur la proposition 60</w:t>
      </w:r>
      <w:r w:rsidR="0015759A">
        <w:t>%</w:t>
      </w:r>
      <w:r w:rsidR="007F0385">
        <w:t xml:space="preserve"> </w:t>
      </w:r>
      <w:r w:rsidRPr="00CF1EFA">
        <w:t>-</w:t>
      </w:r>
      <w:r w:rsidR="007F0385">
        <w:t xml:space="preserve"> </w:t>
      </w:r>
      <w:r w:rsidRPr="00CF1EFA">
        <w:t>40</w:t>
      </w:r>
      <w:r w:rsidR="0015759A">
        <w:t>%</w:t>
      </w:r>
      <w:r w:rsidRPr="00CF1EFA">
        <w:t>. Une feuille de route sera élaborée pour structurer les travaux futurs, en distinguant les actions à court terme et les chantiers à moyen</w:t>
      </w:r>
      <w:r w:rsidR="007F0385">
        <w:t xml:space="preserve"> et </w:t>
      </w:r>
      <w:r w:rsidR="0076053A" w:rsidRPr="00CF1EFA">
        <w:t>long terme</w:t>
      </w:r>
      <w:r w:rsidRPr="00CF1EFA">
        <w:t>.</w:t>
      </w:r>
      <w:r w:rsidR="0022647B" w:rsidRPr="0022647B">
        <w:t xml:space="preserve"> </w:t>
      </w:r>
    </w:p>
    <w:p w14:paraId="004C973D" w14:textId="6A476013" w:rsidR="00674403" w:rsidRDefault="0022647B" w:rsidP="00CF1EFA">
      <w:r w:rsidRPr="00CF1EFA">
        <w:t>La nécessité d’impliquer les syndicats dans certains aspects, notamment liés à l’emploi et aux conditions de travail, est reconnue.</w:t>
      </w:r>
    </w:p>
    <w:p w14:paraId="09DFA16E" w14:textId="77777777" w:rsidR="005B023C" w:rsidRDefault="005B023C" w:rsidP="00CF1EFA"/>
    <w:p w14:paraId="19099758" w14:textId="77777777" w:rsidR="00537261" w:rsidRDefault="00537261" w:rsidP="00CF1EFA"/>
    <w:p w14:paraId="275E7B3D" w14:textId="47FE916D" w:rsidR="006E6252" w:rsidRPr="00CA1F20" w:rsidRDefault="00893CC4" w:rsidP="00CF1EFA">
      <w:pPr>
        <w:rPr>
          <w:u w:val="single"/>
        </w:rPr>
      </w:pPr>
      <w:r w:rsidRPr="00CA1F20">
        <w:rPr>
          <w:u w:val="single"/>
        </w:rPr>
        <w:lastRenderedPageBreak/>
        <w:t>Priorité</w:t>
      </w:r>
      <w:r w:rsidR="00176B45">
        <w:rPr>
          <w:u w:val="single"/>
        </w:rPr>
        <w:t>s</w:t>
      </w:r>
      <w:r w:rsidR="006E6252" w:rsidRPr="00CA1F20">
        <w:rPr>
          <w:u w:val="single"/>
        </w:rPr>
        <w:t xml:space="preserve"> à traiter :</w:t>
      </w:r>
    </w:p>
    <w:p w14:paraId="0D2EB1C0" w14:textId="79CF77E2" w:rsidR="009712E9" w:rsidRDefault="009712E9" w:rsidP="009712E9">
      <w:pPr>
        <w:pStyle w:val="Paragraphedeliste"/>
        <w:numPr>
          <w:ilvl w:val="0"/>
          <w:numId w:val="2"/>
        </w:numPr>
      </w:pPr>
      <w:r>
        <w:t>Positionnement des Fédérations sur le 60%</w:t>
      </w:r>
      <w:r w:rsidR="000D7714">
        <w:t xml:space="preserve"> </w:t>
      </w:r>
      <w:r>
        <w:t>-</w:t>
      </w:r>
      <w:r w:rsidR="000D7714">
        <w:t xml:space="preserve"> </w:t>
      </w:r>
      <w:r>
        <w:t>40% ;</w:t>
      </w:r>
    </w:p>
    <w:p w14:paraId="4BE78240" w14:textId="586233CC" w:rsidR="00DF154C" w:rsidRDefault="00DF154C" w:rsidP="009712E9">
      <w:pPr>
        <w:pStyle w:val="Paragraphedeliste"/>
        <w:numPr>
          <w:ilvl w:val="0"/>
          <w:numId w:val="2"/>
        </w:numPr>
      </w:pPr>
      <w:r>
        <w:t>Surveiller l’adoption d’un arrêté rétroactif au 1</w:t>
      </w:r>
      <w:r w:rsidRPr="00DF154C">
        <w:rPr>
          <w:vertAlign w:val="superscript"/>
        </w:rPr>
        <w:t>er</w:t>
      </w:r>
      <w:r>
        <w:t xml:space="preserve"> janvier 2025 ;</w:t>
      </w:r>
    </w:p>
    <w:p w14:paraId="39866D35" w14:textId="1292D0D5" w:rsidR="009712E9" w:rsidRDefault="009712E9" w:rsidP="009712E9">
      <w:pPr>
        <w:pStyle w:val="Paragraphedeliste"/>
        <w:numPr>
          <w:ilvl w:val="0"/>
          <w:numId w:val="2"/>
        </w:numPr>
      </w:pPr>
      <w:r>
        <w:t>Construction d’une feuille de route pour les Fédérations ;</w:t>
      </w:r>
    </w:p>
    <w:p w14:paraId="4CE26415" w14:textId="6ECAAF15" w:rsidR="006E6252" w:rsidRDefault="00893CC4" w:rsidP="006E6252">
      <w:pPr>
        <w:pStyle w:val="Paragraphedeliste"/>
        <w:numPr>
          <w:ilvl w:val="0"/>
          <w:numId w:val="2"/>
        </w:numPr>
      </w:pPr>
      <w:r>
        <w:t xml:space="preserve">Mettre sur papier ce que les </w:t>
      </w:r>
      <w:r w:rsidR="007F0385">
        <w:t>f</w:t>
      </w:r>
      <w:r>
        <w:t>édérations voudraient voir dans une autorisation ;</w:t>
      </w:r>
    </w:p>
    <w:p w14:paraId="41B66285" w14:textId="6C85E9B8" w:rsidR="00893CC4" w:rsidRDefault="000458C2" w:rsidP="006E6252">
      <w:pPr>
        <w:pStyle w:val="Paragraphedeliste"/>
        <w:numPr>
          <w:ilvl w:val="0"/>
          <w:numId w:val="2"/>
        </w:numPr>
      </w:pPr>
      <w:r>
        <w:t>Garder</w:t>
      </w:r>
      <w:r w:rsidR="005A5F4C">
        <w:t xml:space="preserve"> intact</w:t>
      </w:r>
      <w:r>
        <w:t xml:space="preserve"> le budget existant propre aux SAEMD</w:t>
      </w:r>
      <w:r w:rsidR="00A051F3">
        <w:t> ;</w:t>
      </w:r>
    </w:p>
    <w:p w14:paraId="5828BBD9" w14:textId="4CC026AE" w:rsidR="000458C2" w:rsidRPr="00CA1F20" w:rsidRDefault="00A051F3" w:rsidP="006E6252">
      <w:pPr>
        <w:pStyle w:val="Paragraphedeliste"/>
        <w:numPr>
          <w:ilvl w:val="0"/>
          <w:numId w:val="2"/>
        </w:numPr>
      </w:pPr>
      <w:r w:rsidRPr="00CA1F20">
        <w:t>Analyse sociétale du coût global</w:t>
      </w:r>
      <w:r w:rsidR="006660F8" w:rsidRPr="00CA1F20">
        <w:t xml:space="preserve"> (</w:t>
      </w:r>
      <w:r w:rsidR="005A5F4C" w:rsidRPr="00CA1F20">
        <w:t>coût pour les services et coût pour les familles)</w:t>
      </w:r>
      <w:r w:rsidR="00CA1F20" w:rsidRPr="00CA1F20">
        <w:t> ;</w:t>
      </w:r>
    </w:p>
    <w:p w14:paraId="1C53F388" w14:textId="6B99E98A" w:rsidR="00863E4D" w:rsidRPr="00CA1F20" w:rsidRDefault="00A051F3" w:rsidP="006E6252">
      <w:pPr>
        <w:pStyle w:val="Paragraphedeliste"/>
        <w:numPr>
          <w:ilvl w:val="0"/>
          <w:numId w:val="2"/>
        </w:numPr>
      </w:pPr>
      <w:r w:rsidRPr="00CA1F20">
        <w:t xml:space="preserve">Analyse de la gestion des pics </w:t>
      </w:r>
      <w:r w:rsidR="00907FB7" w:rsidRPr="00CA1F20">
        <w:t>d’un point de vue organisa</w:t>
      </w:r>
      <w:r w:rsidR="00D05876" w:rsidRPr="00CA1F20">
        <w:t>tionnel</w:t>
      </w:r>
      <w:r w:rsidR="000317C1" w:rsidRPr="00CA1F20">
        <w:t xml:space="preserve"> (organisation du travail)</w:t>
      </w:r>
      <w:r w:rsidR="003668AF" w:rsidRPr="00CA1F20">
        <w:t xml:space="preserve"> spécifique au secteur ;</w:t>
      </w:r>
    </w:p>
    <w:p w14:paraId="1FE453F5" w14:textId="7E805AB2" w:rsidR="00A051F3" w:rsidRPr="00CA1F20" w:rsidRDefault="003668AF" w:rsidP="006E6252">
      <w:pPr>
        <w:pStyle w:val="Paragraphedeliste"/>
        <w:numPr>
          <w:ilvl w:val="0"/>
          <w:numId w:val="2"/>
        </w:numPr>
      </w:pPr>
      <w:r w:rsidRPr="00CA1F20">
        <w:t xml:space="preserve">Faire le lien entre les milieux classiques et les SAEMD </w:t>
      </w:r>
      <w:r w:rsidR="00CA1F20">
        <w:t xml:space="preserve">et </w:t>
      </w:r>
      <w:r w:rsidR="00CA1F20" w:rsidRPr="00CA1F20">
        <w:t>établir une stratégie globale autour des milieux d’accueil de façon générale.</w:t>
      </w:r>
    </w:p>
    <w:p w14:paraId="669ADC8B" w14:textId="3BE44042" w:rsidR="00E115ED" w:rsidRPr="00CF1EFA" w:rsidRDefault="00CF1EFA" w:rsidP="00CF1EFA">
      <w:r w:rsidRPr="00CF1EFA">
        <w:t xml:space="preserve">Une réunion est proposée pour </w:t>
      </w:r>
      <w:r w:rsidR="00B96CA3">
        <w:t>le 6</w:t>
      </w:r>
      <w:r w:rsidRPr="00CF1EFA">
        <w:t xml:space="preserve"> novembre </w:t>
      </w:r>
      <w:r w:rsidR="00B96CA3">
        <w:t xml:space="preserve">2025 </w:t>
      </w:r>
      <w:r w:rsidRPr="00CF1EFA">
        <w:t>en visioconférence afin de poursuivre les discussions</w:t>
      </w:r>
      <w:r w:rsidR="00E115ED">
        <w:t xml:space="preserve"> </w:t>
      </w:r>
      <w:r w:rsidR="00E246BA">
        <w:t xml:space="preserve">et de prioriser la </w:t>
      </w:r>
      <w:r w:rsidR="00E115ED">
        <w:t xml:space="preserve">construction d’une feuille de route. </w:t>
      </w:r>
    </w:p>
    <w:p w14:paraId="02A314A5" w14:textId="7EC87505" w:rsidR="00CF1EFA" w:rsidRPr="00CF1EFA" w:rsidRDefault="00CF1EFA" w:rsidP="00CF1EFA"/>
    <w:p w14:paraId="455BAB33" w14:textId="1F6A5026" w:rsidR="00CF1EFA" w:rsidRPr="00CF1EFA" w:rsidRDefault="00CF1EFA" w:rsidP="00CF1EFA">
      <w:r w:rsidRPr="00CF1EFA">
        <w:t>Fait le 31 octobre 2025,</w:t>
      </w:r>
      <w:r w:rsidRPr="00CF1EFA">
        <w:br/>
        <w:t xml:space="preserve">Par </w:t>
      </w:r>
      <w:r w:rsidR="00AC7B91">
        <w:t>Louann Clesse</w:t>
      </w:r>
      <w:r w:rsidR="00BE6BED">
        <w:t xml:space="preserve"> (CODEF)</w:t>
      </w:r>
      <w:r w:rsidRPr="00CF1EFA">
        <w:t>,</w:t>
      </w:r>
      <w:r w:rsidRPr="00CF1EFA">
        <w:br/>
        <w:t>Pour le GT SAEMD</w:t>
      </w:r>
    </w:p>
    <w:p w14:paraId="587796A5" w14:textId="07FA1557" w:rsidR="00980B59" w:rsidRDefault="00980B59" w:rsidP="00980B59"/>
    <w:p w14:paraId="722D6331" w14:textId="7D9AE77B" w:rsidR="00A02109" w:rsidRDefault="00375082" w:rsidP="005B023C">
      <w:pPr>
        <w:jc w:val="center"/>
      </w:pPr>
      <w:r>
        <w:rPr>
          <w:noProof/>
        </w:rPr>
        <w:drawing>
          <wp:anchor distT="0" distB="0" distL="114300" distR="114300" simplePos="0" relativeHeight="251661312" behindDoc="0" locked="0" layoutInCell="1" allowOverlap="1" wp14:anchorId="0116D793" wp14:editId="063A04C9">
            <wp:simplePos x="0" y="0"/>
            <wp:positionH relativeFrom="margin">
              <wp:posOffset>85061</wp:posOffset>
            </wp:positionH>
            <wp:positionV relativeFrom="bottomMargin">
              <wp:posOffset>-2689919</wp:posOffset>
            </wp:positionV>
            <wp:extent cx="1453515" cy="499110"/>
            <wp:effectExtent l="0" t="0" r="0" b="0"/>
            <wp:wrapSquare wrapText="bothSides"/>
            <wp:docPr id="30339513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3515" cy="4991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D02CC2E" wp14:editId="2C52F97D">
            <wp:simplePos x="0" y="0"/>
            <wp:positionH relativeFrom="margin">
              <wp:posOffset>2332163</wp:posOffset>
            </wp:positionH>
            <wp:positionV relativeFrom="page">
              <wp:posOffset>6665832</wp:posOffset>
            </wp:positionV>
            <wp:extent cx="1403350" cy="1403350"/>
            <wp:effectExtent l="0" t="0" r="6350" b="6350"/>
            <wp:wrapSquare wrapText="bothSides"/>
            <wp:docPr id="126667203" name="Image 9" descr="Une image contenant logo, Police, Graphiqu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7203" name="Image 9" descr="Une image contenant logo, Police, Graphique, symbole&#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AAE13EB" wp14:editId="5FB5CF00">
            <wp:simplePos x="0" y="0"/>
            <wp:positionH relativeFrom="margin">
              <wp:align>right</wp:align>
            </wp:positionH>
            <wp:positionV relativeFrom="page">
              <wp:posOffset>6836159</wp:posOffset>
            </wp:positionV>
            <wp:extent cx="1148715" cy="956310"/>
            <wp:effectExtent l="0" t="0" r="0" b="0"/>
            <wp:wrapSquare wrapText="bothSides"/>
            <wp:docPr id="61368342" name="Image 1" descr="Une image contenant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8342" name="Image 1" descr="Une image contenant clipart&#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8715" cy="956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D36AA28" wp14:editId="1617514D">
            <wp:simplePos x="0" y="0"/>
            <wp:positionH relativeFrom="margin">
              <wp:posOffset>3204269</wp:posOffset>
            </wp:positionH>
            <wp:positionV relativeFrom="page">
              <wp:posOffset>8420794</wp:posOffset>
            </wp:positionV>
            <wp:extent cx="1225550" cy="1024890"/>
            <wp:effectExtent l="0" t="0" r="0" b="3810"/>
            <wp:wrapSquare wrapText="bothSides"/>
            <wp:docPr id="84086761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5550" cy="1024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4964732" wp14:editId="53843381">
            <wp:simplePos x="0" y="0"/>
            <wp:positionH relativeFrom="column">
              <wp:posOffset>1446988</wp:posOffset>
            </wp:positionH>
            <wp:positionV relativeFrom="page">
              <wp:posOffset>8396989</wp:posOffset>
            </wp:positionV>
            <wp:extent cx="786765" cy="1003935"/>
            <wp:effectExtent l="0" t="0" r="0" b="5715"/>
            <wp:wrapSquare wrapText="bothSides"/>
            <wp:docPr id="188934027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6765" cy="1003935"/>
                    </a:xfrm>
                    <a:prstGeom prst="rect">
                      <a:avLst/>
                    </a:prstGeom>
                    <a:noFill/>
                    <a:ln>
                      <a:noFill/>
                    </a:ln>
                  </pic:spPr>
                </pic:pic>
              </a:graphicData>
            </a:graphic>
          </wp:anchor>
        </w:drawing>
      </w:r>
    </w:p>
    <w:sectPr w:rsidR="00A021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71D7"/>
    <w:multiLevelType w:val="hybridMultilevel"/>
    <w:tmpl w:val="2B0836AE"/>
    <w:lvl w:ilvl="0" w:tplc="C57CBF9A">
      <w:start w:val="2"/>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63D0FFE"/>
    <w:multiLevelType w:val="hybridMultilevel"/>
    <w:tmpl w:val="6FC8D1F0"/>
    <w:lvl w:ilvl="0" w:tplc="D1D0C386">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9B1741"/>
    <w:multiLevelType w:val="hybridMultilevel"/>
    <w:tmpl w:val="85EE7C5A"/>
    <w:lvl w:ilvl="0" w:tplc="2C0AE0D2">
      <w:start w:val="2"/>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1D55644"/>
    <w:multiLevelType w:val="hybridMultilevel"/>
    <w:tmpl w:val="E174B876"/>
    <w:lvl w:ilvl="0" w:tplc="D17AB9D0">
      <w:start w:val="2"/>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4647E60"/>
    <w:multiLevelType w:val="hybridMultilevel"/>
    <w:tmpl w:val="79344128"/>
    <w:lvl w:ilvl="0" w:tplc="2D6E3A5E">
      <w:start w:val="2"/>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6685897"/>
    <w:multiLevelType w:val="hybridMultilevel"/>
    <w:tmpl w:val="A498C722"/>
    <w:lvl w:ilvl="0" w:tplc="D0BA080A">
      <w:start w:val="3"/>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AF56FB5"/>
    <w:multiLevelType w:val="hybridMultilevel"/>
    <w:tmpl w:val="02BE853A"/>
    <w:lvl w:ilvl="0" w:tplc="140EC1EC">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DEA627A"/>
    <w:multiLevelType w:val="hybridMultilevel"/>
    <w:tmpl w:val="C7C8D754"/>
    <w:lvl w:ilvl="0" w:tplc="2EEC6798">
      <w:start w:val="1"/>
      <w:numFmt w:val="decimal"/>
      <w:lvlText w:val="%1."/>
      <w:lvlJc w:val="left"/>
      <w:pPr>
        <w:ind w:left="720"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EC6199B"/>
    <w:multiLevelType w:val="multilevel"/>
    <w:tmpl w:val="0B22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2E478D"/>
    <w:multiLevelType w:val="multilevel"/>
    <w:tmpl w:val="6CC4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FF6D85"/>
    <w:multiLevelType w:val="multilevel"/>
    <w:tmpl w:val="CDC8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2C212F"/>
    <w:multiLevelType w:val="multilevel"/>
    <w:tmpl w:val="5C86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1901290">
    <w:abstractNumId w:val="6"/>
  </w:num>
  <w:num w:numId="2" w16cid:durableId="134763147">
    <w:abstractNumId w:val="1"/>
  </w:num>
  <w:num w:numId="3" w16cid:durableId="582446479">
    <w:abstractNumId w:val="7"/>
  </w:num>
  <w:num w:numId="4" w16cid:durableId="597059326">
    <w:abstractNumId w:val="5"/>
  </w:num>
  <w:num w:numId="5" w16cid:durableId="1815872874">
    <w:abstractNumId w:val="9"/>
  </w:num>
  <w:num w:numId="6" w16cid:durableId="501316312">
    <w:abstractNumId w:val="10"/>
  </w:num>
  <w:num w:numId="7" w16cid:durableId="155807326">
    <w:abstractNumId w:val="3"/>
  </w:num>
  <w:num w:numId="8" w16cid:durableId="1853299547">
    <w:abstractNumId w:val="2"/>
  </w:num>
  <w:num w:numId="9" w16cid:durableId="1339036101">
    <w:abstractNumId w:val="11"/>
  </w:num>
  <w:num w:numId="10" w16cid:durableId="2033452869">
    <w:abstractNumId w:val="4"/>
  </w:num>
  <w:num w:numId="11" w16cid:durableId="1056510261">
    <w:abstractNumId w:val="0"/>
  </w:num>
  <w:num w:numId="12" w16cid:durableId="3872633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B6"/>
    <w:rsid w:val="0000405B"/>
    <w:rsid w:val="0000561B"/>
    <w:rsid w:val="00020F30"/>
    <w:rsid w:val="000303F4"/>
    <w:rsid w:val="000317C1"/>
    <w:rsid w:val="000458C2"/>
    <w:rsid w:val="00052E33"/>
    <w:rsid w:val="00054D9A"/>
    <w:rsid w:val="00076F85"/>
    <w:rsid w:val="0008353E"/>
    <w:rsid w:val="000903E8"/>
    <w:rsid w:val="000B7757"/>
    <w:rsid w:val="000B7F64"/>
    <w:rsid w:val="000C003E"/>
    <w:rsid w:val="000D1AAD"/>
    <w:rsid w:val="000D7714"/>
    <w:rsid w:val="001001B6"/>
    <w:rsid w:val="00112098"/>
    <w:rsid w:val="00117990"/>
    <w:rsid w:val="0015759A"/>
    <w:rsid w:val="00176B45"/>
    <w:rsid w:val="00192738"/>
    <w:rsid w:val="00197EAE"/>
    <w:rsid w:val="001C27C5"/>
    <w:rsid w:val="001D7AEF"/>
    <w:rsid w:val="001F18CE"/>
    <w:rsid w:val="001F6060"/>
    <w:rsid w:val="00207979"/>
    <w:rsid w:val="00216E76"/>
    <w:rsid w:val="00223D69"/>
    <w:rsid w:val="0022647B"/>
    <w:rsid w:val="00226C23"/>
    <w:rsid w:val="00246978"/>
    <w:rsid w:val="00262699"/>
    <w:rsid w:val="00263B7E"/>
    <w:rsid w:val="00264206"/>
    <w:rsid w:val="002851F0"/>
    <w:rsid w:val="00287569"/>
    <w:rsid w:val="002B099C"/>
    <w:rsid w:val="002B5CAC"/>
    <w:rsid w:val="002C34AC"/>
    <w:rsid w:val="002D2BB3"/>
    <w:rsid w:val="002F5FC6"/>
    <w:rsid w:val="002F7239"/>
    <w:rsid w:val="0031362C"/>
    <w:rsid w:val="003205CD"/>
    <w:rsid w:val="00337554"/>
    <w:rsid w:val="00341968"/>
    <w:rsid w:val="00344DC0"/>
    <w:rsid w:val="0035359A"/>
    <w:rsid w:val="00361BB5"/>
    <w:rsid w:val="00363FCB"/>
    <w:rsid w:val="003646C1"/>
    <w:rsid w:val="003668AF"/>
    <w:rsid w:val="003729AA"/>
    <w:rsid w:val="00375082"/>
    <w:rsid w:val="00380F0D"/>
    <w:rsid w:val="003869EF"/>
    <w:rsid w:val="00390A7E"/>
    <w:rsid w:val="003B4B82"/>
    <w:rsid w:val="003C654F"/>
    <w:rsid w:val="00400E8D"/>
    <w:rsid w:val="00404E59"/>
    <w:rsid w:val="004179FD"/>
    <w:rsid w:val="004434F0"/>
    <w:rsid w:val="00460CF6"/>
    <w:rsid w:val="004911B9"/>
    <w:rsid w:val="004B4466"/>
    <w:rsid w:val="004C7413"/>
    <w:rsid w:val="004F2AAF"/>
    <w:rsid w:val="004F502C"/>
    <w:rsid w:val="005177CE"/>
    <w:rsid w:val="00520539"/>
    <w:rsid w:val="00520C11"/>
    <w:rsid w:val="00520EA5"/>
    <w:rsid w:val="005338B6"/>
    <w:rsid w:val="00537261"/>
    <w:rsid w:val="005509A9"/>
    <w:rsid w:val="005547B7"/>
    <w:rsid w:val="00563004"/>
    <w:rsid w:val="00572518"/>
    <w:rsid w:val="00580CA1"/>
    <w:rsid w:val="00586BBF"/>
    <w:rsid w:val="005872F3"/>
    <w:rsid w:val="005A5F4C"/>
    <w:rsid w:val="005B023C"/>
    <w:rsid w:val="005B0F0B"/>
    <w:rsid w:val="005C2DDE"/>
    <w:rsid w:val="005D28F1"/>
    <w:rsid w:val="005D38DC"/>
    <w:rsid w:val="00612FE1"/>
    <w:rsid w:val="0063730A"/>
    <w:rsid w:val="00654121"/>
    <w:rsid w:val="00655D39"/>
    <w:rsid w:val="0065683C"/>
    <w:rsid w:val="00657296"/>
    <w:rsid w:val="00657D77"/>
    <w:rsid w:val="00662117"/>
    <w:rsid w:val="006660F8"/>
    <w:rsid w:val="00674403"/>
    <w:rsid w:val="00675A57"/>
    <w:rsid w:val="00692CB2"/>
    <w:rsid w:val="006A1579"/>
    <w:rsid w:val="006B04C3"/>
    <w:rsid w:val="006B26E5"/>
    <w:rsid w:val="006C43BF"/>
    <w:rsid w:val="006C761B"/>
    <w:rsid w:val="006D37CB"/>
    <w:rsid w:val="006D3E5C"/>
    <w:rsid w:val="006D4F50"/>
    <w:rsid w:val="006D6B48"/>
    <w:rsid w:val="006E35BA"/>
    <w:rsid w:val="006E6252"/>
    <w:rsid w:val="00715693"/>
    <w:rsid w:val="007209D3"/>
    <w:rsid w:val="00721A19"/>
    <w:rsid w:val="00730AB5"/>
    <w:rsid w:val="007347EA"/>
    <w:rsid w:val="0076053A"/>
    <w:rsid w:val="00763967"/>
    <w:rsid w:val="00784B61"/>
    <w:rsid w:val="00793027"/>
    <w:rsid w:val="007931A8"/>
    <w:rsid w:val="0079334C"/>
    <w:rsid w:val="0079464E"/>
    <w:rsid w:val="007B335F"/>
    <w:rsid w:val="007C7EB1"/>
    <w:rsid w:val="007D153E"/>
    <w:rsid w:val="007F0385"/>
    <w:rsid w:val="00800FD8"/>
    <w:rsid w:val="00832728"/>
    <w:rsid w:val="008421C8"/>
    <w:rsid w:val="008425DD"/>
    <w:rsid w:val="008615AD"/>
    <w:rsid w:val="00863E4D"/>
    <w:rsid w:val="008654BB"/>
    <w:rsid w:val="0087232D"/>
    <w:rsid w:val="0087289E"/>
    <w:rsid w:val="0088093B"/>
    <w:rsid w:val="00893CC4"/>
    <w:rsid w:val="008A7177"/>
    <w:rsid w:val="008B5A4A"/>
    <w:rsid w:val="008D31ED"/>
    <w:rsid w:val="008F2C52"/>
    <w:rsid w:val="008F7EE3"/>
    <w:rsid w:val="00907FB7"/>
    <w:rsid w:val="00911431"/>
    <w:rsid w:val="00921083"/>
    <w:rsid w:val="0092469E"/>
    <w:rsid w:val="0092769D"/>
    <w:rsid w:val="009322F6"/>
    <w:rsid w:val="0096637C"/>
    <w:rsid w:val="009712E9"/>
    <w:rsid w:val="00972BA7"/>
    <w:rsid w:val="00973812"/>
    <w:rsid w:val="00976448"/>
    <w:rsid w:val="00980B59"/>
    <w:rsid w:val="00983C32"/>
    <w:rsid w:val="0098573C"/>
    <w:rsid w:val="009945B2"/>
    <w:rsid w:val="009A2B66"/>
    <w:rsid w:val="009A5BBB"/>
    <w:rsid w:val="009A7355"/>
    <w:rsid w:val="009C24B8"/>
    <w:rsid w:val="009E32D7"/>
    <w:rsid w:val="009F2B25"/>
    <w:rsid w:val="00A02109"/>
    <w:rsid w:val="00A051F3"/>
    <w:rsid w:val="00A13DA8"/>
    <w:rsid w:val="00A32A97"/>
    <w:rsid w:val="00A40BF6"/>
    <w:rsid w:val="00A47864"/>
    <w:rsid w:val="00A90618"/>
    <w:rsid w:val="00AB1C2F"/>
    <w:rsid w:val="00AB2603"/>
    <w:rsid w:val="00AB627C"/>
    <w:rsid w:val="00AC7B91"/>
    <w:rsid w:val="00AD2620"/>
    <w:rsid w:val="00AF2F37"/>
    <w:rsid w:val="00AF70B5"/>
    <w:rsid w:val="00B33116"/>
    <w:rsid w:val="00B36E91"/>
    <w:rsid w:val="00B4655D"/>
    <w:rsid w:val="00B54DB4"/>
    <w:rsid w:val="00B62F78"/>
    <w:rsid w:val="00B80039"/>
    <w:rsid w:val="00B90DF8"/>
    <w:rsid w:val="00B96238"/>
    <w:rsid w:val="00B96CA3"/>
    <w:rsid w:val="00BB4370"/>
    <w:rsid w:val="00BC19CF"/>
    <w:rsid w:val="00BC32E2"/>
    <w:rsid w:val="00BC4FB8"/>
    <w:rsid w:val="00BD2A3C"/>
    <w:rsid w:val="00BE62DD"/>
    <w:rsid w:val="00BE6BED"/>
    <w:rsid w:val="00BE75C8"/>
    <w:rsid w:val="00C00415"/>
    <w:rsid w:val="00C01960"/>
    <w:rsid w:val="00C01F0E"/>
    <w:rsid w:val="00C106A2"/>
    <w:rsid w:val="00C14409"/>
    <w:rsid w:val="00C3099F"/>
    <w:rsid w:val="00C31270"/>
    <w:rsid w:val="00C32F89"/>
    <w:rsid w:val="00C40D34"/>
    <w:rsid w:val="00C4670E"/>
    <w:rsid w:val="00C47603"/>
    <w:rsid w:val="00C50A72"/>
    <w:rsid w:val="00C65797"/>
    <w:rsid w:val="00C748DC"/>
    <w:rsid w:val="00C907DD"/>
    <w:rsid w:val="00CA1F20"/>
    <w:rsid w:val="00CC4FAE"/>
    <w:rsid w:val="00CD007B"/>
    <w:rsid w:val="00CD1DF7"/>
    <w:rsid w:val="00CF1BC6"/>
    <w:rsid w:val="00CF1EFA"/>
    <w:rsid w:val="00CF56E6"/>
    <w:rsid w:val="00D016E4"/>
    <w:rsid w:val="00D05876"/>
    <w:rsid w:val="00D0607E"/>
    <w:rsid w:val="00D15F08"/>
    <w:rsid w:val="00D2327B"/>
    <w:rsid w:val="00D340EC"/>
    <w:rsid w:val="00D73697"/>
    <w:rsid w:val="00D7740D"/>
    <w:rsid w:val="00DB3DDE"/>
    <w:rsid w:val="00DC50FA"/>
    <w:rsid w:val="00DF0C8F"/>
    <w:rsid w:val="00DF154C"/>
    <w:rsid w:val="00E05DDE"/>
    <w:rsid w:val="00E115ED"/>
    <w:rsid w:val="00E246BA"/>
    <w:rsid w:val="00E3014C"/>
    <w:rsid w:val="00E31146"/>
    <w:rsid w:val="00E5458A"/>
    <w:rsid w:val="00E8207D"/>
    <w:rsid w:val="00E915A4"/>
    <w:rsid w:val="00EB0CEF"/>
    <w:rsid w:val="00EB256E"/>
    <w:rsid w:val="00EE068F"/>
    <w:rsid w:val="00EE1FF9"/>
    <w:rsid w:val="00EE2BC7"/>
    <w:rsid w:val="00EF4ADE"/>
    <w:rsid w:val="00F07CDF"/>
    <w:rsid w:val="00F150E4"/>
    <w:rsid w:val="00F169A9"/>
    <w:rsid w:val="00F34B8D"/>
    <w:rsid w:val="00F402E4"/>
    <w:rsid w:val="00F60BA2"/>
    <w:rsid w:val="00F97B58"/>
    <w:rsid w:val="00FB0782"/>
    <w:rsid w:val="00FB0A92"/>
    <w:rsid w:val="00FD6248"/>
    <w:rsid w:val="00FD717A"/>
    <w:rsid w:val="00FE24A9"/>
    <w:rsid w:val="00FE30B7"/>
    <w:rsid w:val="00FE7FCC"/>
    <w:rsid w:val="00FF4E51"/>
    <w:rsid w:val="00FF52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5EE88"/>
  <w15:chartTrackingRefBased/>
  <w15:docId w15:val="{1DAC8149-07DD-41E2-A53A-C5570414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00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00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001B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001B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001B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001B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001B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001B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001B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01B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001B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001B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001B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001B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001B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001B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001B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001B6"/>
    <w:rPr>
      <w:rFonts w:eastAsiaTheme="majorEastAsia" w:cstheme="majorBidi"/>
      <w:color w:val="272727" w:themeColor="text1" w:themeTint="D8"/>
    </w:rPr>
  </w:style>
  <w:style w:type="paragraph" w:styleId="Titre">
    <w:name w:val="Title"/>
    <w:basedOn w:val="Normal"/>
    <w:next w:val="Normal"/>
    <w:link w:val="TitreCar"/>
    <w:uiPriority w:val="10"/>
    <w:qFormat/>
    <w:rsid w:val="00100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001B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01B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001B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01B6"/>
    <w:pPr>
      <w:spacing w:before="160"/>
      <w:jc w:val="center"/>
    </w:pPr>
    <w:rPr>
      <w:i/>
      <w:iCs/>
      <w:color w:val="404040" w:themeColor="text1" w:themeTint="BF"/>
    </w:rPr>
  </w:style>
  <w:style w:type="character" w:customStyle="1" w:styleId="CitationCar">
    <w:name w:val="Citation Car"/>
    <w:basedOn w:val="Policepardfaut"/>
    <w:link w:val="Citation"/>
    <w:uiPriority w:val="29"/>
    <w:rsid w:val="001001B6"/>
    <w:rPr>
      <w:i/>
      <w:iCs/>
      <w:color w:val="404040" w:themeColor="text1" w:themeTint="BF"/>
    </w:rPr>
  </w:style>
  <w:style w:type="paragraph" w:styleId="Paragraphedeliste">
    <w:name w:val="List Paragraph"/>
    <w:basedOn w:val="Normal"/>
    <w:uiPriority w:val="34"/>
    <w:qFormat/>
    <w:rsid w:val="001001B6"/>
    <w:pPr>
      <w:ind w:left="720"/>
      <w:contextualSpacing/>
    </w:pPr>
  </w:style>
  <w:style w:type="character" w:styleId="Accentuationintense">
    <w:name w:val="Intense Emphasis"/>
    <w:basedOn w:val="Policepardfaut"/>
    <w:uiPriority w:val="21"/>
    <w:qFormat/>
    <w:rsid w:val="001001B6"/>
    <w:rPr>
      <w:i/>
      <w:iCs/>
      <w:color w:val="0F4761" w:themeColor="accent1" w:themeShade="BF"/>
    </w:rPr>
  </w:style>
  <w:style w:type="paragraph" w:styleId="Citationintense">
    <w:name w:val="Intense Quote"/>
    <w:basedOn w:val="Normal"/>
    <w:next w:val="Normal"/>
    <w:link w:val="CitationintenseCar"/>
    <w:uiPriority w:val="30"/>
    <w:qFormat/>
    <w:rsid w:val="00100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001B6"/>
    <w:rPr>
      <w:i/>
      <w:iCs/>
      <w:color w:val="0F4761" w:themeColor="accent1" w:themeShade="BF"/>
    </w:rPr>
  </w:style>
  <w:style w:type="character" w:styleId="Rfrenceintense">
    <w:name w:val="Intense Reference"/>
    <w:basedOn w:val="Policepardfaut"/>
    <w:uiPriority w:val="32"/>
    <w:qFormat/>
    <w:rsid w:val="001001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78F713489D34A8DA19EA1F82C4F41" ma:contentTypeVersion="20" ma:contentTypeDescription="Crée un document." ma:contentTypeScope="" ma:versionID="c2dea7974535d79cce435eae2999ccc6">
  <xsd:schema xmlns:xsd="http://www.w3.org/2001/XMLSchema" xmlns:xs="http://www.w3.org/2001/XMLSchema" xmlns:p="http://schemas.microsoft.com/office/2006/metadata/properties" xmlns:ns2="752323f4-9838-4165-b219-548b93e4f905" xmlns:ns3="85eb7662-389d-4453-ad77-d0fb5b04fb38" targetNamespace="http://schemas.microsoft.com/office/2006/metadata/properties" ma:root="true" ma:fieldsID="bfb0d10ad6681d91962e1b8e594ebb9d" ns2:_="" ns3:_="">
    <xsd:import namespace="752323f4-9838-4165-b219-548b93e4f905"/>
    <xsd:import namespace="85eb7662-389d-4453-ad77-d0fb5b04fb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323f4-9838-4165-b219-548b93e4f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bf0dd84-e849-42ff-b079-7807fdf464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État de validation"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b7662-389d-4453-ad77-d0fb5b04fb38"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9fc4f8d-600a-411f-b94e-46a7f323aaab}" ma:internalName="TaxCatchAll" ma:showField="CatchAllData" ma:web="85eb7662-389d-4453-ad77-d0fb5b04fb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2323f4-9838-4165-b219-548b93e4f905">
      <Terms xmlns="http://schemas.microsoft.com/office/infopath/2007/PartnerControls"/>
    </lcf76f155ced4ddcb4097134ff3c332f>
    <TaxCatchAll xmlns="85eb7662-389d-4453-ad77-d0fb5b04fb38" xsi:nil="true"/>
    <_Flow_SignoffStatus xmlns="752323f4-9838-4165-b219-548b93e4f905" xsi:nil="true"/>
  </documentManagement>
</p:properties>
</file>

<file path=customXml/itemProps1.xml><?xml version="1.0" encoding="utf-8"?>
<ds:datastoreItem xmlns:ds="http://schemas.openxmlformats.org/officeDocument/2006/customXml" ds:itemID="{05D2E029-4140-4D6E-8F14-F98B70134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323f4-9838-4165-b219-548b93e4f905"/>
    <ds:schemaRef ds:uri="85eb7662-389d-4453-ad77-d0fb5b04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5EA4E-DAA0-48CB-B5FD-45CD88A9C9DB}">
  <ds:schemaRefs>
    <ds:schemaRef ds:uri="http://schemas.microsoft.com/sharepoint/v3/contenttype/forms"/>
  </ds:schemaRefs>
</ds:datastoreItem>
</file>

<file path=customXml/itemProps3.xml><?xml version="1.0" encoding="utf-8"?>
<ds:datastoreItem xmlns:ds="http://schemas.openxmlformats.org/officeDocument/2006/customXml" ds:itemID="{D2BB7987-13B7-49F2-9E6C-F7CC8B793CB0}">
  <ds:schemaRefs>
    <ds:schemaRef ds:uri="http://schemas.microsoft.com/office/2006/metadata/properties"/>
    <ds:schemaRef ds:uri="http://purl.org/dc/terms/"/>
    <ds:schemaRef ds:uri="http://schemas.microsoft.com/office/2006/documentManagement/types"/>
    <ds:schemaRef ds:uri="85eb7662-389d-4453-ad77-d0fb5b04fb38"/>
    <ds:schemaRef ds:uri="http://purl.org/dc/elements/1.1/"/>
    <ds:schemaRef ds:uri="http://schemas.microsoft.com/office/infopath/2007/PartnerControls"/>
    <ds:schemaRef ds:uri="752323f4-9838-4165-b219-548b93e4f905"/>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4444</TotalTime>
  <Pages>5</Pages>
  <Words>1891</Words>
  <Characters>10405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Louann Clesse - CODEF</dc:creator>
  <cp:keywords/>
  <dc:description/>
  <cp:lastModifiedBy>Louann Clesse - CODEF</cp:lastModifiedBy>
  <cp:revision>259</cp:revision>
  <dcterms:created xsi:type="dcterms:W3CDTF">2025-10-15T13:03:00Z</dcterms:created>
  <dcterms:modified xsi:type="dcterms:W3CDTF">2025-11-03T13:22:00Z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0x010100DEA78F713489D34A8DA19EA1F82C4F41</vt:lpwstr>
  </property>
  <property fmtid="{D5CDD505-2E9C-101B-9397-08002B2CF9AE}" pid="3" name="MediaServiceImageTags">
    <vt:lpwstr/>
  </property>
</Properties>
</file>